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7"/>
        <w:tblpPr w:leftFromText="180" w:rightFromText="180" w:vertAnchor="page" w:horzAnchor="page" w:tblpX="1473" w:tblpY="582"/>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192"/>
        <w:gridCol w:w="3192"/>
        <w:gridCol w:w="3192"/>
      </w:tblGrid>
      <w:tr w14:paraId="1B8D7D0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92" w:type="dxa"/>
          </w:tcPr>
          <w:p w14:paraId="572777FA">
            <w:pPr>
              <w:ind w:firstLine="482"/>
              <w:jc w:val="center"/>
            </w:pPr>
            <w:bookmarkStart w:id="49" w:name="_GoBack"/>
            <w:bookmarkEnd w:id="49"/>
            <w:r>
              <w:rPr>
                <w:b/>
                <w:szCs w:val="24"/>
              </w:rPr>
              <w:t>Problem Chosen</w:t>
            </w:r>
            <w:r>
              <w:rPr>
                <w:b/>
              </w:rPr>
              <w:br w:type="textWrapping"/>
            </w:r>
            <w:r>
              <w:rPr>
                <w:color w:val="FF0000"/>
                <w:sz w:val="40"/>
                <w:szCs w:val="40"/>
              </w:rPr>
              <w:t>ABCDEF</w:t>
            </w:r>
          </w:p>
        </w:tc>
        <w:tc>
          <w:tcPr>
            <w:tcW w:w="3192" w:type="dxa"/>
          </w:tcPr>
          <w:p w14:paraId="20329DDF">
            <w:pPr>
              <w:ind w:firstLine="482"/>
              <w:jc w:val="center"/>
            </w:pPr>
            <w:r>
              <w:rPr>
                <w:b/>
                <w:bCs/>
                <w:szCs w:val="24"/>
              </w:rPr>
              <w:t>202</w:t>
            </w:r>
            <w:r>
              <w:rPr>
                <w:rFonts w:hint="eastAsia"/>
                <w:b/>
                <w:bCs/>
                <w:szCs w:val="24"/>
              </w:rPr>
              <w:t>5</w:t>
            </w:r>
            <w:r>
              <w:rPr>
                <w:b/>
                <w:bCs/>
                <w:szCs w:val="24"/>
              </w:rPr>
              <w:br w:type="textWrapping"/>
            </w:r>
            <w:r>
              <w:rPr>
                <w:b/>
                <w:bCs/>
                <w:szCs w:val="24"/>
              </w:rPr>
              <w:t>MCM/ICM</w:t>
            </w:r>
            <w:r>
              <w:rPr>
                <w:b/>
                <w:bCs/>
                <w:szCs w:val="24"/>
              </w:rPr>
              <w:br w:type="textWrapping"/>
            </w:r>
            <w:r>
              <w:rPr>
                <w:b/>
                <w:bCs/>
                <w:szCs w:val="24"/>
              </w:rPr>
              <w:t>Summary Sheet</w:t>
            </w:r>
          </w:p>
        </w:tc>
        <w:tc>
          <w:tcPr>
            <w:tcW w:w="3192" w:type="dxa"/>
          </w:tcPr>
          <w:p w14:paraId="50DF24A4">
            <w:pPr>
              <w:ind w:firstLine="482"/>
              <w:jc w:val="center"/>
            </w:pPr>
            <w:r>
              <w:rPr>
                <w:b/>
                <w:szCs w:val="24"/>
              </w:rPr>
              <w:t>Team Control Number</w:t>
            </w:r>
            <w:r>
              <w:rPr>
                <w:b/>
              </w:rPr>
              <w:br w:type="textWrapping"/>
            </w:r>
            <w:r>
              <w:rPr>
                <w:color w:val="FF0000"/>
                <w:sz w:val="40"/>
                <w:szCs w:val="40"/>
              </w:rPr>
              <w:t>1111111</w:t>
            </w:r>
          </w:p>
        </w:tc>
      </w:tr>
    </w:tbl>
    <w:p w14:paraId="1E011F2D">
      <w:pPr>
        <w:widowControl/>
        <w:ind w:firstLine="480"/>
        <w:jc w:val="center"/>
        <w:rPr>
          <w:color w:val="000000"/>
          <w:kern w:val="0"/>
          <w:sz w:val="20"/>
        </w:rPr>
      </w:pPr>
      <w:r>
        <w:pict>
          <v:rect id="_x0000_i1025" o:spt="1" style="height:1.5pt;width:468pt;" fillcolor="#000000" filled="t" stroked="f" coordsize="21600,21600" o:hr="t" o:hrstd="t" o:hrnoshade="t" o:hralign="center">
            <v:path/>
            <v:fill on="t" focussize="0,0"/>
            <v:stroke on="f"/>
            <v:imagedata o:title=""/>
            <o:lock v:ext="edit"/>
            <w10:wrap type="none"/>
            <w10:anchorlock/>
          </v:rect>
        </w:pict>
      </w:r>
    </w:p>
    <w:p w14:paraId="2C15C157">
      <w:pPr>
        <w:adjustRightInd w:val="0"/>
        <w:snapToGrid w:val="0"/>
        <w:ind w:firstLine="562"/>
        <w:jc w:val="center"/>
        <w:rPr>
          <w:b/>
          <w:bCs/>
          <w:sz w:val="28"/>
          <w:szCs w:val="28"/>
        </w:rPr>
      </w:pPr>
    </w:p>
    <w:p w14:paraId="59A6DEBA">
      <w:pPr>
        <w:adjustRightInd w:val="0"/>
        <w:snapToGrid w:val="0"/>
        <w:ind w:firstLine="562"/>
        <w:jc w:val="center"/>
        <w:rPr>
          <w:rStyle w:val="30"/>
          <w:b/>
          <w:color w:val="222222"/>
          <w:sz w:val="28"/>
          <w:szCs w:val="28"/>
          <w:lang w:val="en"/>
        </w:rPr>
      </w:pPr>
    </w:p>
    <w:p w14:paraId="71BB6148">
      <w:pPr>
        <w:ind w:firstLine="643"/>
        <w:jc w:val="center"/>
        <w:rPr>
          <w:rStyle w:val="30"/>
          <w:b/>
          <w:color w:val="222222"/>
          <w:sz w:val="32"/>
          <w:szCs w:val="32"/>
          <w:lang w:val="en"/>
        </w:rPr>
      </w:pPr>
      <w:r>
        <w:rPr>
          <w:rStyle w:val="30"/>
          <w:b/>
          <w:color w:val="222222"/>
          <w:sz w:val="32"/>
          <w:szCs w:val="32"/>
          <w:lang w:val="en"/>
        </w:rPr>
        <w:t>Title</w:t>
      </w:r>
      <w:r>
        <w:rPr>
          <w:rStyle w:val="30"/>
          <w:color w:val="FF0000"/>
          <w:sz w:val="32"/>
          <w:szCs w:val="32"/>
          <w:lang w:val="en"/>
        </w:rPr>
        <w:t>（此处应写论文标题）</w:t>
      </w:r>
    </w:p>
    <w:p w14:paraId="3C8FED95">
      <w:pPr>
        <w:ind w:firstLine="562"/>
        <w:jc w:val="center"/>
        <w:rPr>
          <w:b/>
          <w:sz w:val="28"/>
          <w:szCs w:val="28"/>
        </w:rPr>
      </w:pPr>
      <w:r>
        <w:rPr>
          <w:b/>
          <w:sz w:val="28"/>
          <w:szCs w:val="28"/>
        </w:rPr>
        <w:t xml:space="preserve"> Summary</w:t>
      </w:r>
    </w:p>
    <w:p w14:paraId="789A52A7">
      <w:pPr>
        <w:ind w:firstLine="440"/>
        <w:rPr>
          <w:color w:val="FF0000"/>
          <w:sz w:val="22"/>
          <w:szCs w:val="22"/>
        </w:rPr>
      </w:pPr>
    </w:p>
    <w:p w14:paraId="5361D597">
      <w:pPr>
        <w:numPr>
          <w:ilvl w:val="0"/>
          <w:numId w:val="2"/>
        </w:numPr>
        <w:ind w:firstLineChars="0"/>
        <w:rPr>
          <w:color w:val="FF0000"/>
          <w:sz w:val="22"/>
          <w:szCs w:val="22"/>
        </w:rPr>
      </w:pPr>
      <w:r>
        <w:rPr>
          <w:color w:val="FF0000"/>
          <w:sz w:val="22"/>
          <w:szCs w:val="22"/>
        </w:rPr>
        <w:t>美赛论文摘要的英文一般用Summary，摘要最好在本页完成</w:t>
      </w:r>
      <w:r>
        <w:rPr>
          <w:rFonts w:hint="eastAsia"/>
          <w:color w:val="FF0000"/>
          <w:sz w:val="22"/>
          <w:szCs w:val="22"/>
        </w:rPr>
        <w:t>，尽量不要超一页！</w:t>
      </w:r>
    </w:p>
    <w:p w14:paraId="6B4BE4AF">
      <w:pPr>
        <w:widowControl/>
        <w:ind w:firstLine="442"/>
        <w:jc w:val="left"/>
        <w:rPr>
          <w:color w:val="FF0000"/>
          <w:kern w:val="0"/>
          <w:sz w:val="22"/>
        </w:rPr>
      </w:pPr>
      <w:r>
        <w:rPr>
          <w:b/>
          <w:color w:val="FF0000"/>
          <w:sz w:val="22"/>
          <w:szCs w:val="22"/>
        </w:rPr>
        <w:t>标题</w:t>
      </w:r>
      <w:r>
        <w:rPr>
          <w:color w:val="FF0000"/>
          <w:kern w:val="0"/>
          <w:sz w:val="22"/>
        </w:rPr>
        <w:t>为16号Times New Roman字体加粗并居中</w:t>
      </w:r>
    </w:p>
    <w:p w14:paraId="5990FDD1">
      <w:pPr>
        <w:widowControl/>
        <w:ind w:firstLine="442"/>
        <w:jc w:val="left"/>
        <w:rPr>
          <w:color w:val="FF0000"/>
          <w:kern w:val="0"/>
          <w:sz w:val="22"/>
        </w:rPr>
      </w:pPr>
      <w:r>
        <w:rPr>
          <w:b/>
          <w:color w:val="FF0000"/>
          <w:sz w:val="22"/>
          <w:szCs w:val="22"/>
        </w:rPr>
        <w:t>摘要</w:t>
      </w:r>
      <w:r>
        <w:rPr>
          <w:color w:val="FF0000"/>
          <w:sz w:val="22"/>
          <w:szCs w:val="22"/>
        </w:rPr>
        <w:t>为</w:t>
      </w:r>
      <w:r>
        <w:rPr>
          <w:color w:val="FF0000"/>
          <w:kern w:val="0"/>
          <w:sz w:val="22"/>
        </w:rPr>
        <w:t>14号Times New Roman字体加粗并居中</w:t>
      </w:r>
    </w:p>
    <w:p w14:paraId="2A6618AA">
      <w:pPr>
        <w:widowControl/>
        <w:ind w:firstLine="442"/>
        <w:jc w:val="left"/>
        <w:rPr>
          <w:color w:val="FF0000"/>
          <w:kern w:val="0"/>
          <w:sz w:val="22"/>
        </w:rPr>
      </w:pPr>
      <w:r>
        <w:rPr>
          <w:rFonts w:hint="eastAsia"/>
          <w:b/>
          <w:color w:val="FF0000"/>
          <w:sz w:val="22"/>
          <w:szCs w:val="22"/>
        </w:rPr>
        <w:t>正文</w:t>
      </w:r>
      <w:r>
        <w:rPr>
          <w:rFonts w:hint="eastAsia"/>
          <w:color w:val="FF0000"/>
          <w:kern w:val="0"/>
          <w:sz w:val="22"/>
        </w:rPr>
        <w:t>为</w:t>
      </w:r>
      <w:r>
        <w:rPr>
          <w:color w:val="FF0000"/>
          <w:kern w:val="0"/>
          <w:sz w:val="22"/>
        </w:rPr>
        <w:t>1</w:t>
      </w:r>
      <w:r>
        <w:rPr>
          <w:rFonts w:hint="eastAsia"/>
          <w:color w:val="FF0000"/>
          <w:kern w:val="0"/>
          <w:sz w:val="22"/>
        </w:rPr>
        <w:t>2</w:t>
      </w:r>
      <w:r>
        <w:rPr>
          <w:color w:val="FF0000"/>
          <w:kern w:val="0"/>
          <w:sz w:val="22"/>
        </w:rPr>
        <w:t>号Times New Roman字体</w:t>
      </w:r>
      <w:r>
        <w:rPr>
          <w:rFonts w:hint="eastAsia"/>
          <w:color w:val="FF0000"/>
          <w:kern w:val="0"/>
          <w:sz w:val="22"/>
        </w:rPr>
        <w:t>并两端对齐</w:t>
      </w:r>
    </w:p>
    <w:p w14:paraId="29CCEE27">
      <w:pPr>
        <w:widowControl/>
        <w:ind w:firstLine="442"/>
        <w:jc w:val="left"/>
        <w:rPr>
          <w:color w:val="FF0000"/>
          <w:kern w:val="0"/>
          <w:sz w:val="22"/>
        </w:rPr>
      </w:pPr>
      <w:r>
        <w:rPr>
          <w:b/>
          <w:color w:val="FF0000"/>
          <w:sz w:val="22"/>
          <w:szCs w:val="22"/>
        </w:rPr>
        <w:t>关键词</w:t>
      </w:r>
      <w:r>
        <w:rPr>
          <w:color w:val="FF0000"/>
          <w:kern w:val="0"/>
          <w:sz w:val="22"/>
        </w:rPr>
        <w:t>为12号Times New Roman字体加粗并居左</w:t>
      </w:r>
    </w:p>
    <w:p w14:paraId="35D91114">
      <w:pPr>
        <w:widowControl/>
        <w:ind w:firstLine="440"/>
        <w:jc w:val="left"/>
        <w:rPr>
          <w:color w:val="FF0000"/>
          <w:kern w:val="0"/>
          <w:sz w:val="22"/>
        </w:rPr>
      </w:pPr>
    </w:p>
    <w:p w14:paraId="63710DF8">
      <w:pPr>
        <w:widowControl/>
        <w:numPr>
          <w:ilvl w:val="0"/>
          <w:numId w:val="2"/>
        </w:numPr>
        <w:ind w:firstLineChars="0"/>
        <w:jc w:val="left"/>
        <w:rPr>
          <w:color w:val="FF0000"/>
          <w:sz w:val="22"/>
          <w:szCs w:val="22"/>
        </w:rPr>
      </w:pPr>
      <w:r>
        <w:rPr>
          <w:b/>
          <w:color w:val="FF0000"/>
          <w:sz w:val="22"/>
          <w:szCs w:val="22"/>
        </w:rPr>
        <w:t>行间距一般为1倍行距，为控制在一页可适当调整</w:t>
      </w:r>
      <w:r>
        <w:rPr>
          <w:rFonts w:hint="eastAsia"/>
          <w:b/>
          <w:color w:val="FF0000"/>
          <w:sz w:val="22"/>
          <w:szCs w:val="22"/>
        </w:rPr>
        <w:t>，如设置为1倍行距或1.5倍行距等</w:t>
      </w:r>
      <w:r>
        <w:rPr>
          <w:b/>
          <w:color w:val="FF0000"/>
          <w:sz w:val="22"/>
          <w:szCs w:val="22"/>
        </w:rPr>
        <w:t>。</w:t>
      </w:r>
    </w:p>
    <w:p w14:paraId="0331DDE8">
      <w:pPr>
        <w:ind w:firstLine="440"/>
        <w:rPr>
          <w:color w:val="FF0000"/>
          <w:sz w:val="22"/>
          <w:szCs w:val="22"/>
        </w:rPr>
      </w:pPr>
    </w:p>
    <w:p w14:paraId="2B1AB598">
      <w:pPr>
        <w:numPr>
          <w:ilvl w:val="0"/>
          <w:numId w:val="2"/>
        </w:numPr>
        <w:ind w:firstLineChars="0"/>
        <w:rPr>
          <w:color w:val="FF0000"/>
          <w:sz w:val="22"/>
          <w:szCs w:val="22"/>
        </w:rPr>
      </w:pPr>
      <w:r>
        <w:rPr>
          <w:color w:val="FF0000"/>
          <w:sz w:val="22"/>
          <w:szCs w:val="22"/>
        </w:rPr>
        <w:t>首页</w:t>
      </w:r>
      <w:r>
        <w:rPr>
          <w:rFonts w:hint="eastAsia"/>
          <w:color w:val="FF0000"/>
          <w:sz w:val="22"/>
          <w:szCs w:val="22"/>
        </w:rPr>
        <w:t>一般</w:t>
      </w:r>
      <w:r>
        <w:rPr>
          <w:color w:val="FF0000"/>
          <w:sz w:val="22"/>
          <w:szCs w:val="22"/>
        </w:rPr>
        <w:t>不需要页眉和页码。</w:t>
      </w:r>
    </w:p>
    <w:p w14:paraId="3AB5576C">
      <w:pPr>
        <w:ind w:firstLine="440"/>
        <w:rPr>
          <w:color w:val="FF0000"/>
          <w:kern w:val="0"/>
          <w:sz w:val="22"/>
          <w:szCs w:val="22"/>
        </w:rPr>
      </w:pPr>
    </w:p>
    <w:p w14:paraId="59E7947D">
      <w:pPr>
        <w:numPr>
          <w:ilvl w:val="0"/>
          <w:numId w:val="2"/>
        </w:numPr>
        <w:ind w:firstLineChars="0"/>
        <w:rPr>
          <w:color w:val="FF0000"/>
          <w:kern w:val="0"/>
          <w:sz w:val="22"/>
          <w:szCs w:val="22"/>
        </w:rPr>
      </w:pPr>
      <w:r>
        <w:rPr>
          <w:color w:val="FF0000"/>
          <w:kern w:val="0"/>
          <w:sz w:val="22"/>
          <w:szCs w:val="22"/>
        </w:rPr>
        <w:t>“</w:t>
      </w:r>
      <w:r>
        <w:rPr>
          <w:rFonts w:hint="eastAsia"/>
          <w:color w:val="FF0000"/>
          <w:kern w:val="0"/>
          <w:sz w:val="22"/>
          <w:szCs w:val="22"/>
        </w:rPr>
        <w:t>1111111</w:t>
      </w:r>
      <w:r>
        <w:rPr>
          <w:color w:val="FF0000"/>
          <w:kern w:val="0"/>
          <w:sz w:val="22"/>
          <w:szCs w:val="22"/>
        </w:rPr>
        <w:t>”修改为自己的控制编号（Team Control Number），“ABCDEF”改为自己的选题题号（A/B/C/D/E/F）</w:t>
      </w:r>
    </w:p>
    <w:p w14:paraId="2438597A">
      <w:pPr>
        <w:ind w:firstLine="440"/>
        <w:rPr>
          <w:color w:val="FF0000"/>
          <w:kern w:val="0"/>
          <w:sz w:val="22"/>
          <w:szCs w:val="22"/>
        </w:rPr>
      </w:pPr>
    </w:p>
    <w:p w14:paraId="20CD5D89">
      <w:pPr>
        <w:widowControl/>
        <w:spacing w:line="360" w:lineRule="auto"/>
        <w:ind w:firstLine="440"/>
        <w:jc w:val="left"/>
        <w:rPr>
          <w:color w:val="FF0000"/>
          <w:kern w:val="0"/>
          <w:sz w:val="22"/>
        </w:rPr>
      </w:pPr>
      <w:r>
        <w:rPr>
          <w:rFonts w:hint="eastAsia"/>
          <w:color w:val="FF0000"/>
          <w:kern w:val="0"/>
          <w:sz w:val="22"/>
        </w:rPr>
        <w:t>使用此模板可以开始输入电子报告的第一页（摘要页）。这个模板使用了一个12点倍的新罗马字体。将您的论文以Adobe PDF电子文件（例如1111111.pdf）的形式提交，以英文输入，可读字体至少为12点类型。 不要在本页或任何页面上包括您的学校、顾问或团队成员的姓名。 论文必须在25页的限制范围内，包括正文、目录和附录等。 请务必更改上面的控制编号和问题选择。</w:t>
      </w:r>
    </w:p>
    <w:p w14:paraId="018A1DCD">
      <w:pPr>
        <w:ind w:firstLine="440"/>
        <w:rPr>
          <w:color w:val="FF0000"/>
          <w:kern w:val="0"/>
          <w:sz w:val="22"/>
          <w:szCs w:val="22"/>
        </w:rPr>
      </w:pPr>
    </w:p>
    <w:p w14:paraId="2AA5EA76">
      <w:pPr>
        <w:ind w:firstLine="440"/>
        <w:rPr>
          <w:color w:val="FF0000"/>
          <w:kern w:val="0"/>
          <w:sz w:val="22"/>
          <w:szCs w:val="22"/>
        </w:rPr>
      </w:pPr>
    </w:p>
    <w:p w14:paraId="3A20720F">
      <w:pPr>
        <w:ind w:firstLine="440"/>
        <w:rPr>
          <w:color w:val="FF0000"/>
          <w:kern w:val="0"/>
          <w:sz w:val="22"/>
          <w:szCs w:val="22"/>
        </w:rPr>
      </w:pPr>
    </w:p>
    <w:p w14:paraId="09C4697B">
      <w:pPr>
        <w:ind w:firstLine="440"/>
        <w:rPr>
          <w:color w:val="FF0000"/>
          <w:kern w:val="0"/>
          <w:sz w:val="22"/>
          <w:szCs w:val="22"/>
        </w:rPr>
      </w:pPr>
    </w:p>
    <w:p w14:paraId="4F0F3C25">
      <w:pPr>
        <w:ind w:firstLine="440"/>
        <w:rPr>
          <w:color w:val="FF0000"/>
          <w:kern w:val="0"/>
          <w:sz w:val="22"/>
          <w:szCs w:val="22"/>
        </w:rPr>
      </w:pPr>
    </w:p>
    <w:p w14:paraId="16833495">
      <w:pPr>
        <w:ind w:firstLine="440"/>
        <w:rPr>
          <w:color w:val="FF0000"/>
          <w:kern w:val="0"/>
          <w:sz w:val="22"/>
          <w:szCs w:val="22"/>
        </w:rPr>
      </w:pPr>
    </w:p>
    <w:p w14:paraId="4284E323">
      <w:pPr>
        <w:ind w:firstLine="440"/>
        <w:rPr>
          <w:color w:val="FF0000"/>
          <w:kern w:val="0"/>
          <w:sz w:val="22"/>
          <w:szCs w:val="22"/>
        </w:rPr>
      </w:pPr>
    </w:p>
    <w:p w14:paraId="7F0A9997">
      <w:pPr>
        <w:ind w:firstLine="440"/>
        <w:rPr>
          <w:color w:val="FF0000"/>
          <w:kern w:val="0"/>
          <w:sz w:val="22"/>
          <w:szCs w:val="22"/>
        </w:rPr>
      </w:pPr>
    </w:p>
    <w:p w14:paraId="54B33AED">
      <w:pPr>
        <w:ind w:firstLine="440"/>
        <w:rPr>
          <w:color w:val="FF0000"/>
          <w:kern w:val="0"/>
          <w:sz w:val="22"/>
          <w:szCs w:val="22"/>
        </w:rPr>
      </w:pPr>
    </w:p>
    <w:p w14:paraId="7AE886B6">
      <w:pPr>
        <w:spacing w:before="312" w:beforeLines="100"/>
        <w:ind w:left="1424" w:hanging="1424" w:hangingChars="591"/>
        <w:rPr>
          <w:color w:val="FF0000"/>
          <w:sz w:val="22"/>
          <w:szCs w:val="22"/>
        </w:rPr>
      </w:pPr>
      <w:r>
        <w:rPr>
          <w:b/>
          <w:szCs w:val="24"/>
        </w:rPr>
        <w:t xml:space="preserve">Key words: </w:t>
      </w:r>
      <w:r>
        <w:rPr>
          <w:color w:val="FF0000"/>
          <w:sz w:val="22"/>
          <w:szCs w:val="22"/>
        </w:rPr>
        <w:t>三到五个关键词</w:t>
      </w:r>
    </w:p>
    <w:p w14:paraId="4584F48B">
      <w:pPr>
        <w:spacing w:before="312" w:beforeLines="100"/>
        <w:ind w:left="1418" w:hanging="1418" w:hangingChars="591"/>
        <w:rPr>
          <w:color w:val="000000"/>
          <w:kern w:val="0"/>
        </w:rPr>
      </w:pPr>
    </w:p>
    <w:p w14:paraId="18A65F3A">
      <w:pPr>
        <w:spacing w:before="312" w:beforeLines="100"/>
        <w:ind w:left="1418" w:hanging="1418" w:hangingChars="591"/>
        <w:rPr>
          <w:color w:val="FF0000"/>
          <w:kern w:val="0"/>
        </w:rPr>
      </w:pPr>
      <w:r>
        <w:rPr>
          <w:color w:val="FF0000"/>
          <w:kern w:val="0"/>
        </w:rPr>
        <w:t>注：红色字为解释说明部分，使用时应全部删除或换成黑色字。</w:t>
      </w:r>
    </w:p>
    <w:p w14:paraId="419FE8AC">
      <w:pPr>
        <w:ind w:firstLine="480"/>
        <w:rPr>
          <w:color w:val="000000"/>
          <w:kern w:val="0"/>
        </w:rPr>
      </w:pPr>
    </w:p>
    <w:p w14:paraId="324FBE8A">
      <w:pPr>
        <w:ind w:firstLine="480"/>
        <w:rPr>
          <w:color w:val="000000"/>
          <w:kern w:val="0"/>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720" w:num="1"/>
          <w:titlePg/>
          <w:docGrid w:type="lines" w:linePitch="312" w:charSpace="0"/>
        </w:sectPr>
      </w:pPr>
    </w:p>
    <w:p w14:paraId="5DE7EA27">
      <w:pPr>
        <w:spacing w:before="240" w:after="240"/>
        <w:ind w:firstLine="723"/>
        <w:jc w:val="center"/>
        <w:rPr>
          <w:lang w:val="en-US" w:eastAsia="zh-CN"/>
        </w:rPr>
      </w:pPr>
      <w:bookmarkStart w:id="0" w:name="_Toc471658405"/>
      <w:r>
        <w:rPr>
          <w:b/>
          <w:sz w:val="36"/>
        </w:rPr>
        <w:t>Contents</w:t>
      </w:r>
      <w:bookmarkEnd w:id="0"/>
      <w:r>
        <w:rPr>
          <w:b/>
        </w:rPr>
        <w:fldChar w:fldCharType="begin"/>
      </w:r>
      <w:r>
        <w:rPr>
          <w:b/>
        </w:rPr>
        <w:instrText xml:space="preserve"> TOC \o "1-3" \h \z \u </w:instrText>
      </w:r>
      <w:r>
        <w:rPr>
          <w:b/>
        </w:rPr>
        <w:fldChar w:fldCharType="separate"/>
      </w:r>
    </w:p>
    <w:p w14:paraId="250ED461">
      <w:pPr>
        <w:pStyle w:val="11"/>
        <w:ind w:firstLine="482"/>
        <w:rPr>
          <w:szCs w:val="22"/>
        </w:rPr>
      </w:pPr>
      <w:r>
        <w:fldChar w:fldCharType="begin"/>
      </w:r>
      <w:r>
        <w:instrText xml:space="preserve"> HYPERLINK \l "_Toc471658476" </w:instrText>
      </w:r>
      <w:r>
        <w:fldChar w:fldCharType="separate"/>
      </w:r>
      <w:r>
        <w:rPr>
          <w:rStyle w:val="23"/>
        </w:rPr>
        <w:t>I. Introduction</w:t>
      </w:r>
      <w:r>
        <w:tab/>
      </w:r>
      <w:r>
        <w:rPr>
          <w:rFonts w:hint="eastAsia"/>
          <w:lang w:val="en-US" w:eastAsia="zh-CN"/>
        </w:rPr>
        <w:t xml:space="preserve"> </w:t>
      </w:r>
      <w:r>
        <w:fldChar w:fldCharType="begin"/>
      </w:r>
      <w:r>
        <w:instrText xml:space="preserve"> PAGEREF _Toc471658476 \h </w:instrText>
      </w:r>
      <w:r>
        <w:fldChar w:fldCharType="separate"/>
      </w:r>
      <w:r>
        <w:t>3</w:t>
      </w:r>
      <w:r>
        <w:fldChar w:fldCharType="end"/>
      </w:r>
      <w:r>
        <w:fldChar w:fldCharType="end"/>
      </w:r>
    </w:p>
    <w:p w14:paraId="44F64A88">
      <w:pPr>
        <w:pStyle w:val="13"/>
        <w:ind w:right="-38" w:firstLine="422" w:firstLineChars="176"/>
        <w:rPr>
          <w:kern w:val="2"/>
          <w:sz w:val="21"/>
          <w:szCs w:val="22"/>
        </w:rPr>
      </w:pPr>
      <w:r>
        <w:fldChar w:fldCharType="begin"/>
      </w:r>
      <w:r>
        <w:instrText xml:space="preserve"> HYPERLINK \l "_Toc471658477" </w:instrText>
      </w:r>
      <w:r>
        <w:fldChar w:fldCharType="separate"/>
      </w:r>
      <w:r>
        <w:rPr>
          <w:rStyle w:val="23"/>
        </w:rPr>
        <w:t>1.1 Background</w:t>
      </w:r>
      <w:r>
        <w:tab/>
      </w:r>
      <w:r>
        <w:fldChar w:fldCharType="begin"/>
      </w:r>
      <w:r>
        <w:instrText xml:space="preserve"> PAGEREF _Toc471658477 \h </w:instrText>
      </w:r>
      <w:r>
        <w:fldChar w:fldCharType="separate"/>
      </w:r>
      <w:r>
        <w:t>3</w:t>
      </w:r>
      <w:r>
        <w:fldChar w:fldCharType="end"/>
      </w:r>
      <w:r>
        <w:fldChar w:fldCharType="end"/>
      </w:r>
    </w:p>
    <w:p w14:paraId="37960D36">
      <w:pPr>
        <w:pStyle w:val="13"/>
        <w:ind w:right="-38" w:firstLine="422" w:firstLineChars="176"/>
        <w:rPr>
          <w:b/>
          <w:kern w:val="2"/>
          <w:sz w:val="21"/>
          <w:szCs w:val="22"/>
        </w:rPr>
      </w:pPr>
      <w:r>
        <w:fldChar w:fldCharType="begin"/>
      </w:r>
      <w:r>
        <w:instrText xml:space="preserve"> HYPERLINK \l "_Toc471658478" </w:instrText>
      </w:r>
      <w:r>
        <w:fldChar w:fldCharType="separate"/>
      </w:r>
      <w:r>
        <w:rPr>
          <w:rStyle w:val="23"/>
        </w:rPr>
        <w:t>1.2 Our works</w:t>
      </w:r>
      <w:r>
        <w:tab/>
      </w:r>
      <w:r>
        <w:fldChar w:fldCharType="begin"/>
      </w:r>
      <w:r>
        <w:instrText xml:space="preserve"> PAGEREF _Toc471658478 \h </w:instrText>
      </w:r>
      <w:r>
        <w:fldChar w:fldCharType="separate"/>
      </w:r>
      <w:r>
        <w:t>3</w:t>
      </w:r>
      <w:r>
        <w:fldChar w:fldCharType="end"/>
      </w:r>
      <w:r>
        <w:fldChar w:fldCharType="end"/>
      </w:r>
    </w:p>
    <w:p w14:paraId="1285A73D">
      <w:pPr>
        <w:pStyle w:val="11"/>
        <w:ind w:firstLine="482"/>
        <w:rPr>
          <w:szCs w:val="22"/>
        </w:rPr>
      </w:pPr>
      <w:r>
        <w:fldChar w:fldCharType="begin"/>
      </w:r>
      <w:r>
        <w:instrText xml:space="preserve"> HYPERLINK \l "_Toc471658479" </w:instrText>
      </w:r>
      <w:r>
        <w:fldChar w:fldCharType="separate"/>
      </w:r>
      <w:r>
        <w:rPr>
          <w:rStyle w:val="23"/>
        </w:rPr>
        <w:t>II. The Description of the Problem</w:t>
      </w:r>
      <w:r>
        <w:tab/>
      </w:r>
      <w:r>
        <w:fldChar w:fldCharType="begin"/>
      </w:r>
      <w:r>
        <w:instrText xml:space="preserve"> PAGEREF _Toc471658479 \h </w:instrText>
      </w:r>
      <w:r>
        <w:fldChar w:fldCharType="separate"/>
      </w:r>
      <w:r>
        <w:t>4</w:t>
      </w:r>
      <w:r>
        <w:fldChar w:fldCharType="end"/>
      </w:r>
      <w:r>
        <w:fldChar w:fldCharType="end"/>
      </w:r>
    </w:p>
    <w:p w14:paraId="2C6D81BD">
      <w:pPr>
        <w:pStyle w:val="13"/>
        <w:ind w:right="-38" w:firstLine="424" w:firstLineChars="177"/>
        <w:rPr>
          <w:b/>
          <w:kern w:val="2"/>
          <w:sz w:val="21"/>
          <w:szCs w:val="22"/>
        </w:rPr>
      </w:pPr>
      <w:r>
        <w:fldChar w:fldCharType="begin"/>
      </w:r>
      <w:r>
        <w:instrText xml:space="preserve"> HYPERLINK \l "_Toc471658480" </w:instrText>
      </w:r>
      <w:r>
        <w:fldChar w:fldCharType="separate"/>
      </w:r>
      <w:r>
        <w:rPr>
          <w:rStyle w:val="23"/>
        </w:rPr>
        <w:t>2.1 Problem statement</w:t>
      </w:r>
      <w:r>
        <w:tab/>
      </w:r>
      <w:r>
        <w:fldChar w:fldCharType="begin"/>
      </w:r>
      <w:r>
        <w:instrText xml:space="preserve"> PAGEREF _Toc471658480 \h </w:instrText>
      </w:r>
      <w:r>
        <w:fldChar w:fldCharType="separate"/>
      </w:r>
      <w:r>
        <w:t>4</w:t>
      </w:r>
      <w:r>
        <w:fldChar w:fldCharType="end"/>
      </w:r>
      <w:r>
        <w:fldChar w:fldCharType="end"/>
      </w:r>
    </w:p>
    <w:p w14:paraId="0016FA71">
      <w:pPr>
        <w:pStyle w:val="13"/>
        <w:ind w:right="-38" w:firstLine="424" w:firstLineChars="177"/>
        <w:rPr>
          <w:b/>
          <w:kern w:val="2"/>
          <w:sz w:val="21"/>
          <w:szCs w:val="22"/>
        </w:rPr>
      </w:pPr>
      <w:r>
        <w:fldChar w:fldCharType="begin"/>
      </w:r>
      <w:r>
        <w:instrText xml:space="preserve"> HYPERLINK \l "_Toc471658481" </w:instrText>
      </w:r>
      <w:r>
        <w:fldChar w:fldCharType="separate"/>
      </w:r>
      <w:r>
        <w:rPr>
          <w:rStyle w:val="23"/>
        </w:rPr>
        <w:t>2.2 Analysis of Specific Issues</w:t>
      </w:r>
      <w:r>
        <w:tab/>
      </w:r>
      <w:r>
        <w:fldChar w:fldCharType="begin"/>
      </w:r>
      <w:r>
        <w:instrText xml:space="preserve"> PAGEREF _Toc471658481 \h </w:instrText>
      </w:r>
      <w:r>
        <w:fldChar w:fldCharType="separate"/>
      </w:r>
      <w:r>
        <w:t>4</w:t>
      </w:r>
      <w:r>
        <w:fldChar w:fldCharType="end"/>
      </w:r>
      <w:r>
        <w:fldChar w:fldCharType="end"/>
      </w:r>
    </w:p>
    <w:p w14:paraId="0C927F2B">
      <w:pPr>
        <w:pStyle w:val="13"/>
        <w:ind w:right="-38" w:firstLine="424" w:firstLineChars="177"/>
        <w:rPr>
          <w:b/>
          <w:kern w:val="2"/>
          <w:sz w:val="21"/>
          <w:szCs w:val="22"/>
        </w:rPr>
      </w:pPr>
      <w:r>
        <w:fldChar w:fldCharType="begin"/>
      </w:r>
      <w:r>
        <w:instrText xml:space="preserve"> HYPERLINK \l "_Toc471658482" </w:instrText>
      </w:r>
      <w:r>
        <w:fldChar w:fldCharType="separate"/>
      </w:r>
      <w:r>
        <w:rPr>
          <w:rStyle w:val="23"/>
        </w:rPr>
        <w:t>2.2.1 Analysis of Problem 1</w:t>
      </w:r>
      <w:r>
        <w:tab/>
      </w:r>
      <w:r>
        <w:fldChar w:fldCharType="begin"/>
      </w:r>
      <w:r>
        <w:instrText xml:space="preserve"> PAGEREF _Toc471658482 \h </w:instrText>
      </w:r>
      <w:r>
        <w:fldChar w:fldCharType="separate"/>
      </w:r>
      <w:r>
        <w:t>4</w:t>
      </w:r>
      <w:r>
        <w:fldChar w:fldCharType="end"/>
      </w:r>
      <w:r>
        <w:fldChar w:fldCharType="end"/>
      </w:r>
    </w:p>
    <w:p w14:paraId="6B255E5A">
      <w:pPr>
        <w:pStyle w:val="13"/>
        <w:ind w:right="-38" w:firstLine="424" w:firstLineChars="177"/>
        <w:rPr>
          <w:b/>
          <w:kern w:val="2"/>
          <w:sz w:val="21"/>
          <w:szCs w:val="22"/>
        </w:rPr>
      </w:pPr>
      <w:r>
        <w:fldChar w:fldCharType="begin"/>
      </w:r>
      <w:r>
        <w:instrText xml:space="preserve"> HYPERLINK \l "_Toc471658483" </w:instrText>
      </w:r>
      <w:r>
        <w:fldChar w:fldCharType="separate"/>
      </w:r>
      <w:r>
        <w:rPr>
          <w:rStyle w:val="23"/>
        </w:rPr>
        <w:t>2.2.2 Analysis of Problem 2</w:t>
      </w:r>
      <w:r>
        <w:tab/>
      </w:r>
      <w:r>
        <w:fldChar w:fldCharType="begin"/>
      </w:r>
      <w:r>
        <w:instrText xml:space="preserve"> PAGEREF _Toc471658483 \h </w:instrText>
      </w:r>
      <w:r>
        <w:fldChar w:fldCharType="separate"/>
      </w:r>
      <w:r>
        <w:t>4</w:t>
      </w:r>
      <w:r>
        <w:fldChar w:fldCharType="end"/>
      </w:r>
      <w:r>
        <w:fldChar w:fldCharType="end"/>
      </w:r>
    </w:p>
    <w:p w14:paraId="13A18001">
      <w:pPr>
        <w:pStyle w:val="13"/>
        <w:ind w:right="-38" w:firstLine="424" w:firstLineChars="177"/>
        <w:rPr>
          <w:b/>
          <w:kern w:val="2"/>
          <w:sz w:val="21"/>
          <w:szCs w:val="22"/>
        </w:rPr>
      </w:pPr>
      <w:r>
        <w:fldChar w:fldCharType="begin"/>
      </w:r>
      <w:r>
        <w:instrText xml:space="preserve"> HYPERLINK \l "_Toc471658484" </w:instrText>
      </w:r>
      <w:r>
        <w:fldChar w:fldCharType="separate"/>
      </w:r>
      <w:r>
        <w:rPr>
          <w:rStyle w:val="23"/>
        </w:rPr>
        <w:t>2.2.3 Analysis of Problem 3</w:t>
      </w:r>
      <w:r>
        <w:tab/>
      </w:r>
      <w:r>
        <w:fldChar w:fldCharType="begin"/>
      </w:r>
      <w:r>
        <w:instrText xml:space="preserve"> PAGEREF _Toc471658484 \h </w:instrText>
      </w:r>
      <w:r>
        <w:fldChar w:fldCharType="separate"/>
      </w:r>
      <w:r>
        <w:t>4</w:t>
      </w:r>
      <w:r>
        <w:fldChar w:fldCharType="end"/>
      </w:r>
      <w:r>
        <w:fldChar w:fldCharType="end"/>
      </w:r>
    </w:p>
    <w:p w14:paraId="35B85798">
      <w:pPr>
        <w:pStyle w:val="13"/>
        <w:ind w:right="-38" w:firstLine="424" w:firstLineChars="177"/>
        <w:rPr>
          <w:b/>
          <w:kern w:val="2"/>
          <w:sz w:val="21"/>
          <w:szCs w:val="22"/>
        </w:rPr>
      </w:pPr>
      <w:r>
        <w:fldChar w:fldCharType="begin"/>
      </w:r>
      <w:r>
        <w:instrText xml:space="preserve"> HYPERLINK \l "_Toc471658485" </w:instrText>
      </w:r>
      <w:r>
        <w:fldChar w:fldCharType="separate"/>
      </w:r>
      <w:r>
        <w:rPr>
          <w:rStyle w:val="23"/>
        </w:rPr>
        <w:t>2.2.4 Analysis of Problem 4</w:t>
      </w:r>
      <w:r>
        <w:tab/>
      </w:r>
      <w:r>
        <w:fldChar w:fldCharType="begin"/>
      </w:r>
      <w:r>
        <w:instrText xml:space="preserve"> PAGEREF _Toc471658485 \h </w:instrText>
      </w:r>
      <w:r>
        <w:fldChar w:fldCharType="separate"/>
      </w:r>
      <w:r>
        <w:t>5</w:t>
      </w:r>
      <w:r>
        <w:fldChar w:fldCharType="end"/>
      </w:r>
      <w:r>
        <w:fldChar w:fldCharType="end"/>
      </w:r>
    </w:p>
    <w:p w14:paraId="7C0522A7">
      <w:pPr>
        <w:pStyle w:val="11"/>
        <w:ind w:firstLine="482"/>
        <w:rPr>
          <w:szCs w:val="22"/>
        </w:rPr>
      </w:pPr>
      <w:r>
        <w:fldChar w:fldCharType="begin"/>
      </w:r>
      <w:r>
        <w:instrText xml:space="preserve"> HYPERLINK \l "_Toc471658486" </w:instrText>
      </w:r>
      <w:r>
        <w:fldChar w:fldCharType="separate"/>
      </w:r>
      <w:r>
        <w:rPr>
          <w:rStyle w:val="23"/>
        </w:rPr>
        <w:t>III. Basic assumption</w:t>
      </w:r>
      <w:r>
        <w:tab/>
      </w:r>
      <w:r>
        <w:fldChar w:fldCharType="begin"/>
      </w:r>
      <w:r>
        <w:instrText xml:space="preserve"> PAGEREF _Toc471658486 \h </w:instrText>
      </w:r>
      <w:r>
        <w:fldChar w:fldCharType="separate"/>
      </w:r>
      <w:r>
        <w:t>5</w:t>
      </w:r>
      <w:r>
        <w:fldChar w:fldCharType="end"/>
      </w:r>
      <w:r>
        <w:fldChar w:fldCharType="end"/>
      </w:r>
    </w:p>
    <w:p w14:paraId="6C0F68F6">
      <w:pPr>
        <w:pStyle w:val="11"/>
        <w:ind w:firstLine="482"/>
        <w:rPr>
          <w:szCs w:val="22"/>
        </w:rPr>
      </w:pPr>
      <w:r>
        <w:fldChar w:fldCharType="begin"/>
      </w:r>
      <w:r>
        <w:instrText xml:space="preserve"> HYPERLINK \l "_Toc471658487" </w:instrText>
      </w:r>
      <w:r>
        <w:fldChar w:fldCharType="separate"/>
      </w:r>
      <w:r>
        <w:rPr>
          <w:rStyle w:val="23"/>
        </w:rPr>
        <w:t>IV. Glossary &amp; Symbols</w:t>
      </w:r>
      <w:r>
        <w:tab/>
      </w:r>
      <w:r>
        <w:fldChar w:fldCharType="begin"/>
      </w:r>
      <w:r>
        <w:instrText xml:space="preserve"> PAGEREF _Toc471658487 \h </w:instrText>
      </w:r>
      <w:r>
        <w:fldChar w:fldCharType="separate"/>
      </w:r>
      <w:r>
        <w:t>5</w:t>
      </w:r>
      <w:r>
        <w:fldChar w:fldCharType="end"/>
      </w:r>
      <w:r>
        <w:fldChar w:fldCharType="end"/>
      </w:r>
    </w:p>
    <w:p w14:paraId="263A8ECB">
      <w:pPr>
        <w:pStyle w:val="13"/>
        <w:ind w:right="-38" w:firstLine="424" w:firstLineChars="177"/>
        <w:rPr>
          <w:b/>
          <w:kern w:val="2"/>
          <w:sz w:val="21"/>
          <w:szCs w:val="22"/>
        </w:rPr>
      </w:pPr>
      <w:r>
        <w:fldChar w:fldCharType="begin"/>
      </w:r>
      <w:r>
        <w:instrText xml:space="preserve"> HYPERLINK \l "_Toc471658488" </w:instrText>
      </w:r>
      <w:r>
        <w:fldChar w:fldCharType="separate"/>
      </w:r>
      <w:r>
        <w:rPr>
          <w:rStyle w:val="23"/>
        </w:rPr>
        <w:t>4.1 Glossary</w:t>
      </w:r>
      <w:r>
        <w:tab/>
      </w:r>
      <w:r>
        <w:fldChar w:fldCharType="begin"/>
      </w:r>
      <w:r>
        <w:instrText xml:space="preserve"> PAGEREF _Toc471658488 \h </w:instrText>
      </w:r>
      <w:r>
        <w:fldChar w:fldCharType="separate"/>
      </w:r>
      <w:r>
        <w:t>5</w:t>
      </w:r>
      <w:r>
        <w:fldChar w:fldCharType="end"/>
      </w:r>
      <w:r>
        <w:fldChar w:fldCharType="end"/>
      </w:r>
    </w:p>
    <w:p w14:paraId="2F84CB1A">
      <w:pPr>
        <w:pStyle w:val="13"/>
        <w:ind w:right="-38" w:firstLine="424" w:firstLineChars="177"/>
        <w:rPr>
          <w:b/>
          <w:kern w:val="2"/>
          <w:sz w:val="21"/>
          <w:szCs w:val="22"/>
        </w:rPr>
      </w:pPr>
      <w:r>
        <w:fldChar w:fldCharType="begin"/>
      </w:r>
      <w:r>
        <w:instrText xml:space="preserve"> HYPERLINK \l "_Toc471658489" </w:instrText>
      </w:r>
      <w:r>
        <w:fldChar w:fldCharType="separate"/>
      </w:r>
      <w:r>
        <w:rPr>
          <w:rStyle w:val="23"/>
        </w:rPr>
        <w:t>4.2 Symbols</w:t>
      </w:r>
      <w:r>
        <w:tab/>
      </w:r>
      <w:r>
        <w:fldChar w:fldCharType="begin"/>
      </w:r>
      <w:r>
        <w:instrText xml:space="preserve"> PAGEREF _Toc471658489 \h </w:instrText>
      </w:r>
      <w:r>
        <w:fldChar w:fldCharType="separate"/>
      </w:r>
      <w:r>
        <w:t>6</w:t>
      </w:r>
      <w:r>
        <w:fldChar w:fldCharType="end"/>
      </w:r>
      <w:r>
        <w:fldChar w:fldCharType="end"/>
      </w:r>
    </w:p>
    <w:p w14:paraId="1470779E">
      <w:pPr>
        <w:pStyle w:val="11"/>
        <w:ind w:firstLine="482"/>
        <w:rPr>
          <w:szCs w:val="22"/>
        </w:rPr>
      </w:pPr>
      <w:r>
        <w:fldChar w:fldCharType="begin"/>
      </w:r>
      <w:r>
        <w:instrText xml:space="preserve"> HYPERLINK \l "_Toc471658490" </w:instrText>
      </w:r>
      <w:r>
        <w:fldChar w:fldCharType="separate"/>
      </w:r>
      <w:r>
        <w:rPr>
          <w:rStyle w:val="23"/>
        </w:rPr>
        <w:t>V. Models</w:t>
      </w:r>
      <w:r>
        <w:tab/>
      </w:r>
      <w:r>
        <w:fldChar w:fldCharType="begin"/>
      </w:r>
      <w:r>
        <w:instrText xml:space="preserve"> PAGEREF _Toc471658490 \h </w:instrText>
      </w:r>
      <w:r>
        <w:fldChar w:fldCharType="separate"/>
      </w:r>
      <w:r>
        <w:t>6</w:t>
      </w:r>
      <w:r>
        <w:fldChar w:fldCharType="end"/>
      </w:r>
      <w:r>
        <w:fldChar w:fldCharType="end"/>
      </w:r>
    </w:p>
    <w:p w14:paraId="39A9B3B4">
      <w:pPr>
        <w:pStyle w:val="13"/>
        <w:ind w:right="-38" w:firstLine="424" w:firstLineChars="177"/>
        <w:rPr>
          <w:b/>
          <w:kern w:val="2"/>
          <w:sz w:val="21"/>
          <w:szCs w:val="22"/>
        </w:rPr>
      </w:pPr>
      <w:r>
        <w:fldChar w:fldCharType="begin"/>
      </w:r>
      <w:r>
        <w:instrText xml:space="preserve"> HYPERLINK \l "_Toc471658491" </w:instrText>
      </w:r>
      <w:r>
        <w:fldChar w:fldCharType="separate"/>
      </w:r>
      <w:r>
        <w:rPr>
          <w:rStyle w:val="23"/>
        </w:rPr>
        <w:t>5.1 Analysis and Solving of Question One</w:t>
      </w:r>
      <w:r>
        <w:tab/>
      </w:r>
      <w:r>
        <w:fldChar w:fldCharType="begin"/>
      </w:r>
      <w:r>
        <w:instrText xml:space="preserve"> PAGEREF _Toc471658491 \h </w:instrText>
      </w:r>
      <w:r>
        <w:fldChar w:fldCharType="separate"/>
      </w:r>
      <w:r>
        <w:t>6</w:t>
      </w:r>
      <w:r>
        <w:fldChar w:fldCharType="end"/>
      </w:r>
      <w:r>
        <w:fldChar w:fldCharType="end"/>
      </w:r>
    </w:p>
    <w:p w14:paraId="3E5FC8EC">
      <w:pPr>
        <w:pStyle w:val="13"/>
        <w:ind w:right="-38" w:firstLine="849" w:firstLineChars="354"/>
        <w:rPr>
          <w:b/>
          <w:kern w:val="2"/>
          <w:sz w:val="21"/>
          <w:szCs w:val="22"/>
        </w:rPr>
      </w:pPr>
      <w:r>
        <w:fldChar w:fldCharType="begin"/>
      </w:r>
      <w:r>
        <w:instrText xml:space="preserve"> HYPERLINK \l "_Toc471658492" </w:instrText>
      </w:r>
      <w:r>
        <w:fldChar w:fldCharType="separate"/>
      </w:r>
      <w:r>
        <w:rPr>
          <w:rStyle w:val="23"/>
        </w:rPr>
        <w:t>5.1.1 Model Preparation</w:t>
      </w:r>
      <w:r>
        <w:tab/>
      </w:r>
      <w:r>
        <w:fldChar w:fldCharType="begin"/>
      </w:r>
      <w:r>
        <w:instrText xml:space="preserve"> PAGEREF _Toc471658492 \h </w:instrText>
      </w:r>
      <w:r>
        <w:fldChar w:fldCharType="separate"/>
      </w:r>
      <w:r>
        <w:t>6</w:t>
      </w:r>
      <w:r>
        <w:fldChar w:fldCharType="end"/>
      </w:r>
      <w:r>
        <w:fldChar w:fldCharType="end"/>
      </w:r>
    </w:p>
    <w:p w14:paraId="7BABD8FA">
      <w:pPr>
        <w:pStyle w:val="13"/>
        <w:ind w:right="-38" w:firstLine="849" w:firstLineChars="354"/>
        <w:rPr>
          <w:b/>
          <w:kern w:val="2"/>
          <w:sz w:val="21"/>
          <w:szCs w:val="22"/>
        </w:rPr>
      </w:pPr>
      <w:r>
        <w:fldChar w:fldCharType="begin"/>
      </w:r>
      <w:r>
        <w:instrText xml:space="preserve"> HYPERLINK \l "_Toc471658493" </w:instrText>
      </w:r>
      <w:r>
        <w:fldChar w:fldCharType="separate"/>
      </w:r>
      <w:r>
        <w:rPr>
          <w:rStyle w:val="23"/>
        </w:rPr>
        <w:t>5.1.2 Model Establishment</w:t>
      </w:r>
      <w:r>
        <w:tab/>
      </w:r>
      <w:r>
        <w:fldChar w:fldCharType="begin"/>
      </w:r>
      <w:r>
        <w:instrText xml:space="preserve"> PAGEREF _Toc471658493 \h </w:instrText>
      </w:r>
      <w:r>
        <w:fldChar w:fldCharType="separate"/>
      </w:r>
      <w:r>
        <w:t>7</w:t>
      </w:r>
      <w:r>
        <w:fldChar w:fldCharType="end"/>
      </w:r>
      <w:r>
        <w:fldChar w:fldCharType="end"/>
      </w:r>
    </w:p>
    <w:p w14:paraId="0AAFE775">
      <w:pPr>
        <w:pStyle w:val="13"/>
        <w:ind w:right="-38" w:firstLine="849" w:firstLineChars="354"/>
        <w:rPr>
          <w:b/>
          <w:kern w:val="2"/>
          <w:sz w:val="21"/>
          <w:szCs w:val="22"/>
        </w:rPr>
      </w:pPr>
      <w:r>
        <w:fldChar w:fldCharType="begin"/>
      </w:r>
      <w:r>
        <w:instrText xml:space="preserve"> HYPERLINK \l "_Toc471658494" </w:instrText>
      </w:r>
      <w:r>
        <w:fldChar w:fldCharType="separate"/>
      </w:r>
      <w:r>
        <w:rPr>
          <w:rStyle w:val="23"/>
        </w:rPr>
        <w:t>5.1.3 Results</w:t>
      </w:r>
      <w:r>
        <w:tab/>
      </w:r>
      <w:r>
        <w:fldChar w:fldCharType="begin"/>
      </w:r>
      <w:r>
        <w:instrText xml:space="preserve"> PAGEREF _Toc471658494 \h </w:instrText>
      </w:r>
      <w:r>
        <w:fldChar w:fldCharType="separate"/>
      </w:r>
      <w:r>
        <w:t>8</w:t>
      </w:r>
      <w:r>
        <w:fldChar w:fldCharType="end"/>
      </w:r>
      <w:r>
        <w:fldChar w:fldCharType="end"/>
      </w:r>
    </w:p>
    <w:p w14:paraId="194F3811">
      <w:pPr>
        <w:pStyle w:val="13"/>
        <w:ind w:right="-38" w:firstLine="849" w:firstLineChars="354"/>
        <w:rPr>
          <w:b/>
          <w:kern w:val="2"/>
          <w:sz w:val="21"/>
          <w:szCs w:val="22"/>
        </w:rPr>
      </w:pPr>
      <w:r>
        <w:fldChar w:fldCharType="begin"/>
      </w:r>
      <w:r>
        <w:instrText xml:space="preserve"> HYPERLINK \l "_Toc471658495" </w:instrText>
      </w:r>
      <w:r>
        <w:fldChar w:fldCharType="separate"/>
      </w:r>
      <w:r>
        <w:rPr>
          <w:rStyle w:val="23"/>
        </w:rPr>
        <w:t>5.1.4 Analysis of the Result</w:t>
      </w:r>
      <w:r>
        <w:tab/>
      </w:r>
      <w:r>
        <w:fldChar w:fldCharType="begin"/>
      </w:r>
      <w:r>
        <w:instrText xml:space="preserve"> PAGEREF _Toc471658495 \h </w:instrText>
      </w:r>
      <w:r>
        <w:fldChar w:fldCharType="separate"/>
      </w:r>
      <w:r>
        <w:t>8</w:t>
      </w:r>
      <w:r>
        <w:fldChar w:fldCharType="end"/>
      </w:r>
      <w:r>
        <w:fldChar w:fldCharType="end"/>
      </w:r>
    </w:p>
    <w:p w14:paraId="0F269F5F">
      <w:pPr>
        <w:pStyle w:val="13"/>
        <w:ind w:right="-38" w:firstLine="424" w:firstLineChars="177"/>
        <w:rPr>
          <w:b/>
          <w:kern w:val="2"/>
          <w:sz w:val="21"/>
          <w:szCs w:val="22"/>
        </w:rPr>
      </w:pPr>
      <w:r>
        <w:fldChar w:fldCharType="begin"/>
      </w:r>
      <w:r>
        <w:instrText xml:space="preserve"> HYPERLINK \l "_Toc471658496" </w:instrText>
      </w:r>
      <w:r>
        <w:fldChar w:fldCharType="separate"/>
      </w:r>
      <w:r>
        <w:rPr>
          <w:rStyle w:val="23"/>
        </w:rPr>
        <w:t>5.2 Analysis and Solving of Question Two</w:t>
      </w:r>
      <w:r>
        <w:tab/>
      </w:r>
      <w:r>
        <w:fldChar w:fldCharType="begin"/>
      </w:r>
      <w:r>
        <w:instrText xml:space="preserve"> PAGEREF _Toc471658496 \h </w:instrText>
      </w:r>
      <w:r>
        <w:fldChar w:fldCharType="separate"/>
      </w:r>
      <w:r>
        <w:t>8</w:t>
      </w:r>
      <w:r>
        <w:fldChar w:fldCharType="end"/>
      </w:r>
      <w:r>
        <w:fldChar w:fldCharType="end"/>
      </w:r>
    </w:p>
    <w:p w14:paraId="57BCC605">
      <w:pPr>
        <w:pStyle w:val="13"/>
        <w:ind w:right="-38" w:firstLine="849" w:firstLineChars="354"/>
        <w:rPr>
          <w:b/>
          <w:kern w:val="2"/>
          <w:sz w:val="21"/>
          <w:szCs w:val="22"/>
        </w:rPr>
      </w:pPr>
      <w:r>
        <w:fldChar w:fldCharType="begin"/>
      </w:r>
      <w:r>
        <w:instrText xml:space="preserve"> HYPERLINK \l "_Toc471658497" </w:instrText>
      </w:r>
      <w:r>
        <w:fldChar w:fldCharType="separate"/>
      </w:r>
      <w:r>
        <w:rPr>
          <w:rStyle w:val="23"/>
        </w:rPr>
        <w:t>5.2.1 Model Preparation</w:t>
      </w:r>
      <w:r>
        <w:tab/>
      </w:r>
      <w:r>
        <w:fldChar w:fldCharType="begin"/>
      </w:r>
      <w:r>
        <w:instrText xml:space="preserve"> PAGEREF _Toc471658497 \h </w:instrText>
      </w:r>
      <w:r>
        <w:fldChar w:fldCharType="separate"/>
      </w:r>
      <w:r>
        <w:t>8</w:t>
      </w:r>
      <w:r>
        <w:fldChar w:fldCharType="end"/>
      </w:r>
      <w:r>
        <w:fldChar w:fldCharType="end"/>
      </w:r>
    </w:p>
    <w:p w14:paraId="000584BD">
      <w:pPr>
        <w:pStyle w:val="13"/>
        <w:ind w:right="-38" w:firstLine="849" w:firstLineChars="354"/>
        <w:rPr>
          <w:b/>
          <w:kern w:val="2"/>
          <w:sz w:val="21"/>
          <w:szCs w:val="22"/>
        </w:rPr>
      </w:pPr>
      <w:r>
        <w:fldChar w:fldCharType="begin"/>
      </w:r>
      <w:r>
        <w:instrText xml:space="preserve"> HYPERLINK \l "_Toc471658498" </w:instrText>
      </w:r>
      <w:r>
        <w:fldChar w:fldCharType="separate"/>
      </w:r>
      <w:r>
        <w:rPr>
          <w:rStyle w:val="23"/>
        </w:rPr>
        <w:t>5.2.2 Model Establishment</w:t>
      </w:r>
      <w:r>
        <w:tab/>
      </w:r>
      <w:r>
        <w:fldChar w:fldCharType="begin"/>
      </w:r>
      <w:r>
        <w:instrText xml:space="preserve"> PAGEREF _Toc471658498 \h </w:instrText>
      </w:r>
      <w:r>
        <w:fldChar w:fldCharType="separate"/>
      </w:r>
      <w:r>
        <w:t>9</w:t>
      </w:r>
      <w:r>
        <w:fldChar w:fldCharType="end"/>
      </w:r>
      <w:r>
        <w:fldChar w:fldCharType="end"/>
      </w:r>
    </w:p>
    <w:p w14:paraId="6EC1EEBF">
      <w:pPr>
        <w:pStyle w:val="13"/>
        <w:ind w:right="-38" w:firstLine="849" w:firstLineChars="354"/>
        <w:rPr>
          <w:b/>
          <w:kern w:val="2"/>
          <w:sz w:val="21"/>
          <w:szCs w:val="22"/>
        </w:rPr>
      </w:pPr>
      <w:r>
        <w:fldChar w:fldCharType="begin"/>
      </w:r>
      <w:r>
        <w:instrText xml:space="preserve"> HYPERLINK \l "_Toc471658499" </w:instrText>
      </w:r>
      <w:r>
        <w:fldChar w:fldCharType="separate"/>
      </w:r>
      <w:r>
        <w:rPr>
          <w:rStyle w:val="23"/>
        </w:rPr>
        <w:t>5.2.3 Results</w:t>
      </w:r>
      <w:r>
        <w:tab/>
      </w:r>
      <w:r>
        <w:fldChar w:fldCharType="begin"/>
      </w:r>
      <w:r>
        <w:instrText xml:space="preserve"> PAGEREF _Toc471658499 \h </w:instrText>
      </w:r>
      <w:r>
        <w:fldChar w:fldCharType="separate"/>
      </w:r>
      <w:r>
        <w:t>10</w:t>
      </w:r>
      <w:r>
        <w:fldChar w:fldCharType="end"/>
      </w:r>
      <w:r>
        <w:fldChar w:fldCharType="end"/>
      </w:r>
    </w:p>
    <w:p w14:paraId="20F0F60C">
      <w:pPr>
        <w:pStyle w:val="13"/>
        <w:ind w:right="-38" w:firstLine="849" w:firstLineChars="354"/>
        <w:rPr>
          <w:b/>
          <w:kern w:val="2"/>
          <w:sz w:val="21"/>
          <w:szCs w:val="22"/>
        </w:rPr>
      </w:pPr>
      <w:r>
        <w:fldChar w:fldCharType="begin"/>
      </w:r>
      <w:r>
        <w:instrText xml:space="preserve"> HYPERLINK \l "_Toc471658500" </w:instrText>
      </w:r>
      <w:r>
        <w:fldChar w:fldCharType="separate"/>
      </w:r>
      <w:r>
        <w:rPr>
          <w:rStyle w:val="23"/>
        </w:rPr>
        <w:t>5.2.4 Analysis of the Result</w:t>
      </w:r>
      <w:r>
        <w:tab/>
      </w:r>
      <w:r>
        <w:fldChar w:fldCharType="begin"/>
      </w:r>
      <w:r>
        <w:instrText xml:space="preserve"> PAGEREF _Toc471658500 \h </w:instrText>
      </w:r>
      <w:r>
        <w:fldChar w:fldCharType="separate"/>
      </w:r>
      <w:r>
        <w:t>10</w:t>
      </w:r>
      <w:r>
        <w:fldChar w:fldCharType="end"/>
      </w:r>
      <w:r>
        <w:fldChar w:fldCharType="end"/>
      </w:r>
    </w:p>
    <w:p w14:paraId="571BF7E9">
      <w:pPr>
        <w:pStyle w:val="13"/>
        <w:ind w:right="-38" w:firstLine="424" w:firstLineChars="177"/>
        <w:rPr>
          <w:b/>
          <w:kern w:val="2"/>
          <w:sz w:val="21"/>
          <w:szCs w:val="22"/>
        </w:rPr>
      </w:pPr>
      <w:r>
        <w:fldChar w:fldCharType="begin"/>
      </w:r>
      <w:r>
        <w:instrText xml:space="preserve"> HYPERLINK \l "_Toc471658501" </w:instrText>
      </w:r>
      <w:r>
        <w:fldChar w:fldCharType="separate"/>
      </w:r>
      <w:r>
        <w:rPr>
          <w:rStyle w:val="23"/>
        </w:rPr>
        <w:t>5.3 Analysis and Solving of Question Three</w:t>
      </w:r>
      <w:r>
        <w:tab/>
      </w:r>
      <w:r>
        <w:fldChar w:fldCharType="begin"/>
      </w:r>
      <w:r>
        <w:instrText xml:space="preserve"> PAGEREF _Toc471658501 \h </w:instrText>
      </w:r>
      <w:r>
        <w:fldChar w:fldCharType="separate"/>
      </w:r>
      <w:r>
        <w:t>10</w:t>
      </w:r>
      <w:r>
        <w:fldChar w:fldCharType="end"/>
      </w:r>
      <w:r>
        <w:fldChar w:fldCharType="end"/>
      </w:r>
    </w:p>
    <w:p w14:paraId="67027F68">
      <w:pPr>
        <w:pStyle w:val="13"/>
        <w:ind w:right="-38" w:firstLine="849" w:firstLineChars="354"/>
        <w:rPr>
          <w:b/>
          <w:kern w:val="2"/>
          <w:sz w:val="21"/>
          <w:szCs w:val="22"/>
        </w:rPr>
      </w:pPr>
      <w:r>
        <w:fldChar w:fldCharType="begin"/>
      </w:r>
      <w:r>
        <w:instrText xml:space="preserve"> HYPERLINK \l "_Toc471658502" </w:instrText>
      </w:r>
      <w:r>
        <w:fldChar w:fldCharType="separate"/>
      </w:r>
      <w:r>
        <w:rPr>
          <w:rStyle w:val="23"/>
        </w:rPr>
        <w:t>5.3.1 Model Preparation</w:t>
      </w:r>
      <w:r>
        <w:tab/>
      </w:r>
      <w:r>
        <w:fldChar w:fldCharType="begin"/>
      </w:r>
      <w:r>
        <w:instrText xml:space="preserve"> PAGEREF _Toc471658502 \h </w:instrText>
      </w:r>
      <w:r>
        <w:fldChar w:fldCharType="separate"/>
      </w:r>
      <w:r>
        <w:t>10</w:t>
      </w:r>
      <w:r>
        <w:fldChar w:fldCharType="end"/>
      </w:r>
      <w:r>
        <w:fldChar w:fldCharType="end"/>
      </w:r>
    </w:p>
    <w:p w14:paraId="65DEA9D9">
      <w:pPr>
        <w:pStyle w:val="13"/>
        <w:ind w:right="-38" w:firstLine="849" w:firstLineChars="354"/>
        <w:rPr>
          <w:b/>
          <w:kern w:val="2"/>
          <w:sz w:val="21"/>
          <w:szCs w:val="22"/>
        </w:rPr>
      </w:pPr>
      <w:r>
        <w:fldChar w:fldCharType="begin"/>
      </w:r>
      <w:r>
        <w:instrText xml:space="preserve"> HYPERLINK \l "_Toc471658503" </w:instrText>
      </w:r>
      <w:r>
        <w:fldChar w:fldCharType="separate"/>
      </w:r>
      <w:r>
        <w:rPr>
          <w:rStyle w:val="23"/>
        </w:rPr>
        <w:t>5.3.2 Model Establishment</w:t>
      </w:r>
      <w:r>
        <w:tab/>
      </w:r>
      <w:r>
        <w:fldChar w:fldCharType="begin"/>
      </w:r>
      <w:r>
        <w:instrText xml:space="preserve"> PAGEREF _Toc471658503 \h </w:instrText>
      </w:r>
      <w:r>
        <w:fldChar w:fldCharType="separate"/>
      </w:r>
      <w:r>
        <w:t>12</w:t>
      </w:r>
      <w:r>
        <w:fldChar w:fldCharType="end"/>
      </w:r>
      <w:r>
        <w:fldChar w:fldCharType="end"/>
      </w:r>
    </w:p>
    <w:p w14:paraId="2A26C758">
      <w:pPr>
        <w:pStyle w:val="13"/>
        <w:ind w:right="-38" w:firstLine="849" w:firstLineChars="354"/>
        <w:rPr>
          <w:b/>
          <w:kern w:val="2"/>
          <w:sz w:val="21"/>
          <w:szCs w:val="22"/>
        </w:rPr>
      </w:pPr>
      <w:r>
        <w:fldChar w:fldCharType="begin"/>
      </w:r>
      <w:r>
        <w:instrText xml:space="preserve"> HYPERLINK \l "_Toc471658504" </w:instrText>
      </w:r>
      <w:r>
        <w:fldChar w:fldCharType="separate"/>
      </w:r>
      <w:r>
        <w:rPr>
          <w:rStyle w:val="23"/>
        </w:rPr>
        <w:t>5.3.3 Results</w:t>
      </w:r>
      <w:r>
        <w:tab/>
      </w:r>
      <w:r>
        <w:fldChar w:fldCharType="begin"/>
      </w:r>
      <w:r>
        <w:instrText xml:space="preserve"> PAGEREF _Toc471658504 \h </w:instrText>
      </w:r>
      <w:r>
        <w:fldChar w:fldCharType="separate"/>
      </w:r>
      <w:r>
        <w:t>12</w:t>
      </w:r>
      <w:r>
        <w:fldChar w:fldCharType="end"/>
      </w:r>
      <w:r>
        <w:fldChar w:fldCharType="end"/>
      </w:r>
    </w:p>
    <w:p w14:paraId="2CBA48D2">
      <w:pPr>
        <w:pStyle w:val="13"/>
        <w:ind w:right="-38" w:firstLine="849" w:firstLineChars="354"/>
        <w:rPr>
          <w:b/>
          <w:kern w:val="2"/>
          <w:sz w:val="21"/>
          <w:szCs w:val="22"/>
        </w:rPr>
      </w:pPr>
      <w:r>
        <w:fldChar w:fldCharType="begin"/>
      </w:r>
      <w:r>
        <w:instrText xml:space="preserve"> HYPERLINK \l "_Toc471658505" </w:instrText>
      </w:r>
      <w:r>
        <w:fldChar w:fldCharType="separate"/>
      </w:r>
      <w:r>
        <w:rPr>
          <w:rStyle w:val="23"/>
        </w:rPr>
        <w:t>5.3.4 Analysis of the Result</w:t>
      </w:r>
      <w:r>
        <w:tab/>
      </w:r>
      <w:r>
        <w:fldChar w:fldCharType="begin"/>
      </w:r>
      <w:r>
        <w:instrText xml:space="preserve"> PAGEREF _Toc471658505 \h </w:instrText>
      </w:r>
      <w:r>
        <w:fldChar w:fldCharType="separate"/>
      </w:r>
      <w:r>
        <w:t>13</w:t>
      </w:r>
      <w:r>
        <w:fldChar w:fldCharType="end"/>
      </w:r>
      <w:r>
        <w:fldChar w:fldCharType="end"/>
      </w:r>
    </w:p>
    <w:p w14:paraId="01886F91">
      <w:pPr>
        <w:pStyle w:val="13"/>
        <w:ind w:right="-38" w:firstLine="424" w:firstLineChars="177"/>
        <w:rPr>
          <w:b/>
          <w:kern w:val="2"/>
          <w:sz w:val="21"/>
          <w:szCs w:val="22"/>
        </w:rPr>
      </w:pPr>
      <w:r>
        <w:fldChar w:fldCharType="begin"/>
      </w:r>
      <w:r>
        <w:instrText xml:space="preserve"> HYPERLINK \l "_Toc471658506" </w:instrText>
      </w:r>
      <w:r>
        <w:fldChar w:fldCharType="separate"/>
      </w:r>
      <w:r>
        <w:rPr>
          <w:rStyle w:val="23"/>
        </w:rPr>
        <w:t>5.4 Analysis and Solving of Question Four</w:t>
      </w:r>
      <w:r>
        <w:tab/>
      </w:r>
      <w:r>
        <w:fldChar w:fldCharType="begin"/>
      </w:r>
      <w:r>
        <w:instrText xml:space="preserve"> PAGEREF _Toc471658506 \h </w:instrText>
      </w:r>
      <w:r>
        <w:fldChar w:fldCharType="separate"/>
      </w:r>
      <w:r>
        <w:t>13</w:t>
      </w:r>
      <w:r>
        <w:fldChar w:fldCharType="end"/>
      </w:r>
      <w:r>
        <w:fldChar w:fldCharType="end"/>
      </w:r>
    </w:p>
    <w:p w14:paraId="6A2CC7E5">
      <w:pPr>
        <w:pStyle w:val="13"/>
        <w:ind w:right="-38" w:firstLine="849" w:firstLineChars="354"/>
        <w:rPr>
          <w:b/>
          <w:kern w:val="2"/>
          <w:sz w:val="21"/>
          <w:szCs w:val="22"/>
        </w:rPr>
      </w:pPr>
      <w:r>
        <w:fldChar w:fldCharType="begin"/>
      </w:r>
      <w:r>
        <w:instrText xml:space="preserve"> HYPERLINK \l "_Toc471658507" </w:instrText>
      </w:r>
      <w:r>
        <w:fldChar w:fldCharType="separate"/>
      </w:r>
      <w:r>
        <w:rPr>
          <w:rStyle w:val="23"/>
        </w:rPr>
        <w:t>5.4.1 Model Preparation</w:t>
      </w:r>
      <w:r>
        <w:tab/>
      </w:r>
      <w:r>
        <w:fldChar w:fldCharType="begin"/>
      </w:r>
      <w:r>
        <w:instrText xml:space="preserve"> PAGEREF _Toc471658507 \h </w:instrText>
      </w:r>
      <w:r>
        <w:fldChar w:fldCharType="separate"/>
      </w:r>
      <w:r>
        <w:t>13</w:t>
      </w:r>
      <w:r>
        <w:fldChar w:fldCharType="end"/>
      </w:r>
      <w:r>
        <w:fldChar w:fldCharType="end"/>
      </w:r>
    </w:p>
    <w:p w14:paraId="52FD7B33">
      <w:pPr>
        <w:pStyle w:val="13"/>
        <w:ind w:right="-38" w:firstLine="849" w:firstLineChars="354"/>
        <w:rPr>
          <w:b/>
          <w:kern w:val="2"/>
          <w:sz w:val="21"/>
          <w:szCs w:val="22"/>
        </w:rPr>
      </w:pPr>
      <w:r>
        <w:fldChar w:fldCharType="begin"/>
      </w:r>
      <w:r>
        <w:instrText xml:space="preserve"> HYPERLINK \l "_Toc471658508" </w:instrText>
      </w:r>
      <w:r>
        <w:fldChar w:fldCharType="separate"/>
      </w:r>
      <w:r>
        <w:rPr>
          <w:rStyle w:val="23"/>
        </w:rPr>
        <w:t>5.4.2 Model Establishment</w:t>
      </w:r>
      <w:r>
        <w:tab/>
      </w:r>
      <w:r>
        <w:fldChar w:fldCharType="begin"/>
      </w:r>
      <w:r>
        <w:instrText xml:space="preserve"> PAGEREF _Toc471658508 \h </w:instrText>
      </w:r>
      <w:r>
        <w:fldChar w:fldCharType="separate"/>
      </w:r>
      <w:r>
        <w:t>14</w:t>
      </w:r>
      <w:r>
        <w:fldChar w:fldCharType="end"/>
      </w:r>
      <w:r>
        <w:fldChar w:fldCharType="end"/>
      </w:r>
    </w:p>
    <w:p w14:paraId="616C451E">
      <w:pPr>
        <w:pStyle w:val="13"/>
        <w:ind w:right="-38" w:firstLine="849" w:firstLineChars="354"/>
        <w:rPr>
          <w:b/>
          <w:kern w:val="2"/>
          <w:sz w:val="21"/>
          <w:szCs w:val="22"/>
        </w:rPr>
      </w:pPr>
      <w:r>
        <w:fldChar w:fldCharType="begin"/>
      </w:r>
      <w:r>
        <w:instrText xml:space="preserve"> HYPERLINK \l "_Toc471658509" </w:instrText>
      </w:r>
      <w:r>
        <w:fldChar w:fldCharType="separate"/>
      </w:r>
      <w:r>
        <w:rPr>
          <w:rStyle w:val="23"/>
        </w:rPr>
        <w:t>5.4.3 Results</w:t>
      </w:r>
      <w:r>
        <w:tab/>
      </w:r>
      <w:r>
        <w:fldChar w:fldCharType="begin"/>
      </w:r>
      <w:r>
        <w:instrText xml:space="preserve"> PAGEREF _Toc471658509 \h </w:instrText>
      </w:r>
      <w:r>
        <w:fldChar w:fldCharType="separate"/>
      </w:r>
      <w:r>
        <w:t>14</w:t>
      </w:r>
      <w:r>
        <w:fldChar w:fldCharType="end"/>
      </w:r>
      <w:r>
        <w:fldChar w:fldCharType="end"/>
      </w:r>
    </w:p>
    <w:p w14:paraId="11A477D4">
      <w:pPr>
        <w:pStyle w:val="13"/>
        <w:ind w:right="-38" w:firstLine="849" w:firstLineChars="354"/>
        <w:rPr>
          <w:b/>
          <w:kern w:val="2"/>
          <w:sz w:val="21"/>
          <w:szCs w:val="22"/>
        </w:rPr>
      </w:pPr>
      <w:r>
        <w:fldChar w:fldCharType="begin"/>
      </w:r>
      <w:r>
        <w:instrText xml:space="preserve"> HYPERLINK \l "_Toc471658510" </w:instrText>
      </w:r>
      <w:r>
        <w:fldChar w:fldCharType="separate"/>
      </w:r>
      <w:r>
        <w:rPr>
          <w:rStyle w:val="23"/>
        </w:rPr>
        <w:t>5.4.4 Analysis of the Result</w:t>
      </w:r>
      <w:r>
        <w:tab/>
      </w:r>
      <w:r>
        <w:fldChar w:fldCharType="begin"/>
      </w:r>
      <w:r>
        <w:instrText xml:space="preserve"> PAGEREF _Toc471658510 \h </w:instrText>
      </w:r>
      <w:r>
        <w:fldChar w:fldCharType="separate"/>
      </w:r>
      <w:r>
        <w:t>15</w:t>
      </w:r>
      <w:r>
        <w:fldChar w:fldCharType="end"/>
      </w:r>
      <w:r>
        <w:fldChar w:fldCharType="end"/>
      </w:r>
    </w:p>
    <w:p w14:paraId="6D95B104">
      <w:pPr>
        <w:pStyle w:val="11"/>
        <w:ind w:firstLine="482"/>
        <w:rPr>
          <w:szCs w:val="22"/>
        </w:rPr>
      </w:pPr>
      <w:r>
        <w:fldChar w:fldCharType="begin"/>
      </w:r>
      <w:r>
        <w:instrText xml:space="preserve"> HYPERLINK \l "_Toc471658511" </w:instrText>
      </w:r>
      <w:r>
        <w:fldChar w:fldCharType="separate"/>
      </w:r>
      <w:r>
        <w:rPr>
          <w:rStyle w:val="23"/>
        </w:rPr>
        <w:t>VI. Error Analysis and Sensitivity Analysis</w:t>
      </w:r>
      <w:r>
        <w:tab/>
      </w:r>
      <w:r>
        <w:fldChar w:fldCharType="begin"/>
      </w:r>
      <w:r>
        <w:instrText xml:space="preserve"> PAGEREF _Toc471658511 \h </w:instrText>
      </w:r>
      <w:r>
        <w:fldChar w:fldCharType="separate"/>
      </w:r>
      <w:r>
        <w:t>15</w:t>
      </w:r>
      <w:r>
        <w:fldChar w:fldCharType="end"/>
      </w:r>
      <w:r>
        <w:fldChar w:fldCharType="end"/>
      </w:r>
    </w:p>
    <w:p w14:paraId="22B4DEB7">
      <w:pPr>
        <w:pStyle w:val="13"/>
        <w:ind w:right="-38" w:firstLine="424" w:firstLineChars="177"/>
        <w:rPr>
          <w:b/>
          <w:kern w:val="2"/>
          <w:sz w:val="21"/>
          <w:szCs w:val="22"/>
        </w:rPr>
      </w:pPr>
      <w:r>
        <w:fldChar w:fldCharType="begin"/>
      </w:r>
      <w:r>
        <w:instrText xml:space="preserve"> HYPERLINK \l "_Toc471658512" </w:instrText>
      </w:r>
      <w:r>
        <w:fldChar w:fldCharType="separate"/>
      </w:r>
      <w:r>
        <w:rPr>
          <w:rStyle w:val="23"/>
        </w:rPr>
        <w:t>6.1 Error Analysis</w:t>
      </w:r>
      <w:r>
        <w:tab/>
      </w:r>
      <w:r>
        <w:fldChar w:fldCharType="begin"/>
      </w:r>
      <w:r>
        <w:instrText xml:space="preserve"> PAGEREF _Toc471658512 \h </w:instrText>
      </w:r>
      <w:r>
        <w:fldChar w:fldCharType="separate"/>
      </w:r>
      <w:r>
        <w:t>15</w:t>
      </w:r>
      <w:r>
        <w:fldChar w:fldCharType="end"/>
      </w:r>
      <w:r>
        <w:fldChar w:fldCharType="end"/>
      </w:r>
    </w:p>
    <w:p w14:paraId="0FD0DA7D">
      <w:pPr>
        <w:pStyle w:val="13"/>
        <w:ind w:right="-38" w:firstLine="849" w:firstLineChars="354"/>
        <w:rPr>
          <w:b/>
          <w:kern w:val="2"/>
          <w:sz w:val="21"/>
          <w:szCs w:val="22"/>
        </w:rPr>
      </w:pPr>
      <w:r>
        <w:fldChar w:fldCharType="begin"/>
      </w:r>
      <w:r>
        <w:instrText xml:space="preserve"> HYPERLINK \l "_Toc471658513" </w:instrText>
      </w:r>
      <w:r>
        <w:fldChar w:fldCharType="separate"/>
      </w:r>
      <w:r>
        <w:rPr>
          <w:rStyle w:val="23"/>
        </w:rPr>
        <w:t>6.1.1 Error Analysis of Model One</w:t>
      </w:r>
      <w:r>
        <w:tab/>
      </w:r>
      <w:r>
        <w:fldChar w:fldCharType="begin"/>
      </w:r>
      <w:r>
        <w:instrText xml:space="preserve"> PAGEREF _Toc471658513 \h </w:instrText>
      </w:r>
      <w:r>
        <w:fldChar w:fldCharType="separate"/>
      </w:r>
      <w:r>
        <w:t>15</w:t>
      </w:r>
      <w:r>
        <w:fldChar w:fldCharType="end"/>
      </w:r>
      <w:r>
        <w:fldChar w:fldCharType="end"/>
      </w:r>
    </w:p>
    <w:p w14:paraId="5A5AB63D">
      <w:pPr>
        <w:pStyle w:val="13"/>
        <w:ind w:right="-38" w:firstLine="849" w:firstLineChars="354"/>
        <w:rPr>
          <w:b/>
          <w:kern w:val="2"/>
          <w:sz w:val="21"/>
          <w:szCs w:val="22"/>
        </w:rPr>
      </w:pPr>
      <w:r>
        <w:fldChar w:fldCharType="begin"/>
      </w:r>
      <w:r>
        <w:instrText xml:space="preserve"> HYPERLINK \l "_Toc471658514" </w:instrText>
      </w:r>
      <w:r>
        <w:fldChar w:fldCharType="separate"/>
      </w:r>
      <w:r>
        <w:rPr>
          <w:rStyle w:val="23"/>
        </w:rPr>
        <w:t>6.1.2 Error Analysis of Model Two</w:t>
      </w:r>
      <w:r>
        <w:tab/>
      </w:r>
      <w:r>
        <w:fldChar w:fldCharType="begin"/>
      </w:r>
      <w:r>
        <w:instrText xml:space="preserve"> PAGEREF _Toc471658514 \h </w:instrText>
      </w:r>
      <w:r>
        <w:fldChar w:fldCharType="separate"/>
      </w:r>
      <w:r>
        <w:t>15</w:t>
      </w:r>
      <w:r>
        <w:fldChar w:fldCharType="end"/>
      </w:r>
      <w:r>
        <w:fldChar w:fldCharType="end"/>
      </w:r>
    </w:p>
    <w:p w14:paraId="650E3147">
      <w:pPr>
        <w:pStyle w:val="13"/>
        <w:ind w:right="-38" w:firstLine="849" w:firstLineChars="354"/>
        <w:rPr>
          <w:b/>
          <w:kern w:val="2"/>
          <w:sz w:val="21"/>
          <w:szCs w:val="22"/>
        </w:rPr>
      </w:pPr>
      <w:r>
        <w:fldChar w:fldCharType="begin"/>
      </w:r>
      <w:r>
        <w:instrText xml:space="preserve"> HYPERLINK \l "_Toc471658515" </w:instrText>
      </w:r>
      <w:r>
        <w:fldChar w:fldCharType="separate"/>
      </w:r>
      <w:r>
        <w:rPr>
          <w:rStyle w:val="23"/>
        </w:rPr>
        <w:t>6.1.3 Error Analysis of Model Three</w:t>
      </w:r>
      <w:r>
        <w:tab/>
      </w:r>
      <w:r>
        <w:fldChar w:fldCharType="begin"/>
      </w:r>
      <w:r>
        <w:instrText xml:space="preserve"> PAGEREF _Toc471658515 \h </w:instrText>
      </w:r>
      <w:r>
        <w:fldChar w:fldCharType="separate"/>
      </w:r>
      <w:r>
        <w:t>16</w:t>
      </w:r>
      <w:r>
        <w:fldChar w:fldCharType="end"/>
      </w:r>
      <w:r>
        <w:fldChar w:fldCharType="end"/>
      </w:r>
    </w:p>
    <w:p w14:paraId="6C8558F1">
      <w:pPr>
        <w:pStyle w:val="13"/>
        <w:ind w:right="-38" w:firstLine="424" w:firstLineChars="177"/>
        <w:rPr>
          <w:b/>
          <w:kern w:val="2"/>
          <w:sz w:val="21"/>
          <w:szCs w:val="22"/>
        </w:rPr>
      </w:pPr>
      <w:r>
        <w:fldChar w:fldCharType="begin"/>
      </w:r>
      <w:r>
        <w:instrText xml:space="preserve"> HYPERLINK \l "_Toc471658516" </w:instrText>
      </w:r>
      <w:r>
        <w:fldChar w:fldCharType="separate"/>
      </w:r>
      <w:r>
        <w:rPr>
          <w:rStyle w:val="23"/>
        </w:rPr>
        <w:t>6.2 Sensitivity Analysis</w:t>
      </w:r>
      <w:r>
        <w:tab/>
      </w:r>
      <w:r>
        <w:fldChar w:fldCharType="begin"/>
      </w:r>
      <w:r>
        <w:instrText xml:space="preserve"> PAGEREF _Toc471658516 \h </w:instrText>
      </w:r>
      <w:r>
        <w:fldChar w:fldCharType="separate"/>
      </w:r>
      <w:r>
        <w:t>16</w:t>
      </w:r>
      <w:r>
        <w:fldChar w:fldCharType="end"/>
      </w:r>
      <w:r>
        <w:fldChar w:fldCharType="end"/>
      </w:r>
    </w:p>
    <w:p w14:paraId="52B201D2">
      <w:pPr>
        <w:pStyle w:val="13"/>
        <w:ind w:right="-38" w:firstLine="849" w:firstLineChars="354"/>
        <w:rPr>
          <w:b/>
          <w:kern w:val="2"/>
          <w:sz w:val="21"/>
          <w:szCs w:val="22"/>
        </w:rPr>
      </w:pPr>
      <w:r>
        <w:fldChar w:fldCharType="begin"/>
      </w:r>
      <w:r>
        <w:instrText xml:space="preserve"> HYPERLINK \l "_Toc471658517" </w:instrText>
      </w:r>
      <w:r>
        <w:fldChar w:fldCharType="separate"/>
      </w:r>
      <w:r>
        <w:rPr>
          <w:rStyle w:val="23"/>
        </w:rPr>
        <w:t>6.2.1 Sensitivity Analysis of Model One</w:t>
      </w:r>
      <w:r>
        <w:tab/>
      </w:r>
      <w:r>
        <w:fldChar w:fldCharType="begin"/>
      </w:r>
      <w:r>
        <w:instrText xml:space="preserve"> PAGEREF _Toc471658517 \h </w:instrText>
      </w:r>
      <w:r>
        <w:fldChar w:fldCharType="separate"/>
      </w:r>
      <w:r>
        <w:t>16</w:t>
      </w:r>
      <w:r>
        <w:fldChar w:fldCharType="end"/>
      </w:r>
      <w:r>
        <w:fldChar w:fldCharType="end"/>
      </w:r>
    </w:p>
    <w:p w14:paraId="11FCC144">
      <w:pPr>
        <w:pStyle w:val="13"/>
        <w:ind w:right="-38" w:firstLine="849" w:firstLineChars="354"/>
        <w:rPr>
          <w:b/>
          <w:kern w:val="2"/>
          <w:sz w:val="21"/>
          <w:szCs w:val="22"/>
        </w:rPr>
      </w:pPr>
      <w:r>
        <w:fldChar w:fldCharType="begin"/>
      </w:r>
      <w:r>
        <w:instrText xml:space="preserve"> HYPERLINK \l "_Toc471658518" </w:instrText>
      </w:r>
      <w:r>
        <w:fldChar w:fldCharType="separate"/>
      </w:r>
      <w:r>
        <w:rPr>
          <w:rStyle w:val="23"/>
        </w:rPr>
        <w:t>6.2.2 Sensitivity Analysis of Model Two</w:t>
      </w:r>
      <w:r>
        <w:tab/>
      </w:r>
      <w:r>
        <w:fldChar w:fldCharType="begin"/>
      </w:r>
      <w:r>
        <w:instrText xml:space="preserve"> PAGEREF _Toc471658518 \h </w:instrText>
      </w:r>
      <w:r>
        <w:fldChar w:fldCharType="separate"/>
      </w:r>
      <w:r>
        <w:t>16</w:t>
      </w:r>
      <w:r>
        <w:fldChar w:fldCharType="end"/>
      </w:r>
      <w:r>
        <w:fldChar w:fldCharType="end"/>
      </w:r>
    </w:p>
    <w:p w14:paraId="288EF75D">
      <w:pPr>
        <w:pStyle w:val="13"/>
        <w:ind w:right="-38" w:firstLine="849" w:firstLineChars="354"/>
        <w:rPr>
          <w:b/>
          <w:kern w:val="2"/>
          <w:sz w:val="21"/>
          <w:szCs w:val="22"/>
        </w:rPr>
      </w:pPr>
      <w:r>
        <w:fldChar w:fldCharType="begin"/>
      </w:r>
      <w:r>
        <w:instrText xml:space="preserve"> HYPERLINK \l "_Toc471658519" </w:instrText>
      </w:r>
      <w:r>
        <w:fldChar w:fldCharType="separate"/>
      </w:r>
      <w:r>
        <w:rPr>
          <w:rStyle w:val="23"/>
        </w:rPr>
        <w:t>6.2.2 Sensitivity Analysis of Model Three</w:t>
      </w:r>
      <w:r>
        <w:tab/>
      </w:r>
      <w:r>
        <w:fldChar w:fldCharType="begin"/>
      </w:r>
      <w:r>
        <w:instrText xml:space="preserve"> PAGEREF _Toc471658519 \h </w:instrText>
      </w:r>
      <w:r>
        <w:fldChar w:fldCharType="separate"/>
      </w:r>
      <w:r>
        <w:t>16</w:t>
      </w:r>
      <w:r>
        <w:fldChar w:fldCharType="end"/>
      </w:r>
      <w:r>
        <w:fldChar w:fldCharType="end"/>
      </w:r>
    </w:p>
    <w:p w14:paraId="0FB48454">
      <w:pPr>
        <w:pStyle w:val="11"/>
        <w:ind w:firstLine="482"/>
        <w:rPr>
          <w:szCs w:val="22"/>
        </w:rPr>
      </w:pPr>
      <w:r>
        <w:fldChar w:fldCharType="begin"/>
      </w:r>
      <w:r>
        <w:instrText xml:space="preserve"> HYPERLINK \l "_Toc471658520" </w:instrText>
      </w:r>
      <w:r>
        <w:fldChar w:fldCharType="separate"/>
      </w:r>
      <w:r>
        <w:rPr>
          <w:rStyle w:val="23"/>
        </w:rPr>
        <w:t>VII. Evaluation and Promotion of Model</w:t>
      </w:r>
      <w:r>
        <w:tab/>
      </w:r>
      <w:r>
        <w:fldChar w:fldCharType="begin"/>
      </w:r>
      <w:r>
        <w:instrText xml:space="preserve"> PAGEREF _Toc471658520 \h </w:instrText>
      </w:r>
      <w:r>
        <w:fldChar w:fldCharType="separate"/>
      </w:r>
      <w:r>
        <w:t>17</w:t>
      </w:r>
      <w:r>
        <w:fldChar w:fldCharType="end"/>
      </w:r>
      <w:r>
        <w:fldChar w:fldCharType="end"/>
      </w:r>
    </w:p>
    <w:p w14:paraId="1B454051">
      <w:pPr>
        <w:pStyle w:val="13"/>
        <w:ind w:right="-38" w:firstLine="424" w:firstLineChars="177"/>
        <w:rPr>
          <w:b/>
          <w:kern w:val="2"/>
          <w:sz w:val="21"/>
          <w:szCs w:val="22"/>
        </w:rPr>
      </w:pPr>
      <w:r>
        <w:fldChar w:fldCharType="begin"/>
      </w:r>
      <w:r>
        <w:instrText xml:space="preserve"> HYPERLINK \l "_Toc471658521" </w:instrText>
      </w:r>
      <w:r>
        <w:fldChar w:fldCharType="separate"/>
      </w:r>
      <w:r>
        <w:rPr>
          <w:rStyle w:val="23"/>
        </w:rPr>
        <w:t>7.1 Strength and Weakness</w:t>
      </w:r>
      <w:r>
        <w:tab/>
      </w:r>
      <w:r>
        <w:fldChar w:fldCharType="begin"/>
      </w:r>
      <w:r>
        <w:instrText xml:space="preserve"> PAGEREF _Toc471658521 \h </w:instrText>
      </w:r>
      <w:r>
        <w:fldChar w:fldCharType="separate"/>
      </w:r>
      <w:r>
        <w:t>17</w:t>
      </w:r>
      <w:r>
        <w:fldChar w:fldCharType="end"/>
      </w:r>
      <w:r>
        <w:fldChar w:fldCharType="end"/>
      </w:r>
    </w:p>
    <w:p w14:paraId="4AC126F0">
      <w:pPr>
        <w:pStyle w:val="13"/>
        <w:ind w:right="-38" w:firstLine="849" w:firstLineChars="354"/>
        <w:rPr>
          <w:b/>
          <w:kern w:val="2"/>
          <w:sz w:val="21"/>
          <w:szCs w:val="22"/>
        </w:rPr>
      </w:pPr>
      <w:r>
        <w:fldChar w:fldCharType="begin"/>
      </w:r>
      <w:r>
        <w:instrText xml:space="preserve"> HYPERLINK \l "_Toc471658522" </w:instrText>
      </w:r>
      <w:r>
        <w:fldChar w:fldCharType="separate"/>
      </w:r>
      <w:r>
        <w:rPr>
          <w:rStyle w:val="23"/>
        </w:rPr>
        <w:t>7.1.1 Strength</w:t>
      </w:r>
      <w:r>
        <w:tab/>
      </w:r>
      <w:r>
        <w:fldChar w:fldCharType="begin"/>
      </w:r>
      <w:r>
        <w:instrText xml:space="preserve"> PAGEREF _Toc471658522 \h </w:instrText>
      </w:r>
      <w:r>
        <w:fldChar w:fldCharType="separate"/>
      </w:r>
      <w:r>
        <w:t>17</w:t>
      </w:r>
      <w:r>
        <w:fldChar w:fldCharType="end"/>
      </w:r>
      <w:r>
        <w:fldChar w:fldCharType="end"/>
      </w:r>
    </w:p>
    <w:p w14:paraId="6EFF91E9">
      <w:pPr>
        <w:pStyle w:val="13"/>
        <w:ind w:right="-38" w:firstLine="849" w:firstLineChars="354"/>
        <w:rPr>
          <w:b/>
          <w:kern w:val="2"/>
          <w:sz w:val="21"/>
          <w:szCs w:val="22"/>
        </w:rPr>
      </w:pPr>
      <w:r>
        <w:fldChar w:fldCharType="begin"/>
      </w:r>
      <w:r>
        <w:instrText xml:space="preserve"> HYPERLINK \l "_Toc471658523" </w:instrText>
      </w:r>
      <w:r>
        <w:fldChar w:fldCharType="separate"/>
      </w:r>
      <w:r>
        <w:rPr>
          <w:rStyle w:val="23"/>
        </w:rPr>
        <w:t>7.1.2 Weakness:</w:t>
      </w:r>
      <w:r>
        <w:tab/>
      </w:r>
      <w:r>
        <w:fldChar w:fldCharType="begin"/>
      </w:r>
      <w:r>
        <w:instrText xml:space="preserve"> PAGEREF _Toc471658523 \h </w:instrText>
      </w:r>
      <w:r>
        <w:fldChar w:fldCharType="separate"/>
      </w:r>
      <w:r>
        <w:t>17</w:t>
      </w:r>
      <w:r>
        <w:fldChar w:fldCharType="end"/>
      </w:r>
      <w:r>
        <w:fldChar w:fldCharType="end"/>
      </w:r>
    </w:p>
    <w:p w14:paraId="5D8D97D8">
      <w:pPr>
        <w:pStyle w:val="13"/>
        <w:ind w:right="-38" w:firstLine="424" w:firstLineChars="177"/>
        <w:rPr>
          <w:b/>
          <w:kern w:val="2"/>
          <w:sz w:val="21"/>
          <w:szCs w:val="22"/>
        </w:rPr>
      </w:pPr>
      <w:r>
        <w:fldChar w:fldCharType="begin"/>
      </w:r>
      <w:r>
        <w:instrText xml:space="preserve"> HYPERLINK \l "_Toc471658524" </w:instrText>
      </w:r>
      <w:r>
        <w:fldChar w:fldCharType="separate"/>
      </w:r>
      <w:r>
        <w:rPr>
          <w:rStyle w:val="23"/>
        </w:rPr>
        <w:t>7.2 Promotion</w:t>
      </w:r>
      <w:r>
        <w:tab/>
      </w:r>
      <w:r>
        <w:fldChar w:fldCharType="begin"/>
      </w:r>
      <w:r>
        <w:instrText xml:space="preserve"> PAGEREF _Toc471658524 \h </w:instrText>
      </w:r>
      <w:r>
        <w:fldChar w:fldCharType="separate"/>
      </w:r>
      <w:r>
        <w:t>17</w:t>
      </w:r>
      <w:r>
        <w:fldChar w:fldCharType="end"/>
      </w:r>
      <w:r>
        <w:fldChar w:fldCharType="end"/>
      </w:r>
    </w:p>
    <w:p w14:paraId="1C073195">
      <w:pPr>
        <w:pStyle w:val="11"/>
        <w:ind w:firstLine="482"/>
        <w:rPr>
          <w:szCs w:val="22"/>
        </w:rPr>
      </w:pPr>
      <w:r>
        <w:fldChar w:fldCharType="begin"/>
      </w:r>
      <w:r>
        <w:instrText xml:space="preserve"> HYPERLINK \l "_Toc471658525" </w:instrText>
      </w:r>
      <w:r>
        <w:fldChar w:fldCharType="separate"/>
      </w:r>
      <w:r>
        <w:rPr>
          <w:rStyle w:val="23"/>
        </w:rPr>
        <w:t>Ⅷ. Conclusions</w:t>
      </w:r>
      <w:r>
        <w:tab/>
      </w:r>
      <w:r>
        <w:fldChar w:fldCharType="begin"/>
      </w:r>
      <w:r>
        <w:instrText xml:space="preserve"> PAGEREF _Toc471658525 \h </w:instrText>
      </w:r>
      <w:r>
        <w:fldChar w:fldCharType="separate"/>
      </w:r>
      <w:r>
        <w:t>17</w:t>
      </w:r>
      <w:r>
        <w:fldChar w:fldCharType="end"/>
      </w:r>
      <w:r>
        <w:fldChar w:fldCharType="end"/>
      </w:r>
    </w:p>
    <w:p w14:paraId="5B05DB1F">
      <w:pPr>
        <w:pStyle w:val="13"/>
        <w:ind w:right="-38" w:firstLine="424" w:firstLineChars="177"/>
        <w:rPr>
          <w:b/>
          <w:kern w:val="2"/>
          <w:sz w:val="21"/>
          <w:szCs w:val="22"/>
        </w:rPr>
      </w:pPr>
      <w:r>
        <w:fldChar w:fldCharType="begin"/>
      </w:r>
      <w:r>
        <w:instrText xml:space="preserve"> HYPERLINK \l "_Toc471658526" </w:instrText>
      </w:r>
      <w:r>
        <w:fldChar w:fldCharType="separate"/>
      </w:r>
      <w:r>
        <w:rPr>
          <w:rStyle w:val="23"/>
        </w:rPr>
        <w:t>8.1 Conclusions of the problem</w:t>
      </w:r>
      <w:r>
        <w:tab/>
      </w:r>
      <w:r>
        <w:fldChar w:fldCharType="begin"/>
      </w:r>
      <w:r>
        <w:instrText xml:space="preserve"> PAGEREF _Toc471658526 \h </w:instrText>
      </w:r>
      <w:r>
        <w:fldChar w:fldCharType="separate"/>
      </w:r>
      <w:r>
        <w:t>17</w:t>
      </w:r>
      <w:r>
        <w:fldChar w:fldCharType="end"/>
      </w:r>
      <w:r>
        <w:fldChar w:fldCharType="end"/>
      </w:r>
    </w:p>
    <w:p w14:paraId="0AB424BC">
      <w:pPr>
        <w:pStyle w:val="13"/>
        <w:ind w:right="-38" w:firstLine="424" w:firstLineChars="177"/>
        <w:rPr>
          <w:b/>
          <w:kern w:val="2"/>
          <w:sz w:val="21"/>
          <w:szCs w:val="22"/>
        </w:rPr>
      </w:pPr>
      <w:r>
        <w:fldChar w:fldCharType="begin"/>
      </w:r>
      <w:r>
        <w:instrText xml:space="preserve"> HYPERLINK \l "_Toc471658527" </w:instrText>
      </w:r>
      <w:r>
        <w:fldChar w:fldCharType="separate"/>
      </w:r>
      <w:r>
        <w:rPr>
          <w:rStyle w:val="23"/>
        </w:rPr>
        <w:t>8.2 Methods used in our models</w:t>
      </w:r>
      <w:r>
        <w:tab/>
      </w:r>
      <w:r>
        <w:fldChar w:fldCharType="begin"/>
      </w:r>
      <w:r>
        <w:instrText xml:space="preserve"> PAGEREF _Toc471658527 \h </w:instrText>
      </w:r>
      <w:r>
        <w:fldChar w:fldCharType="separate"/>
      </w:r>
      <w:r>
        <w:t>18</w:t>
      </w:r>
      <w:r>
        <w:fldChar w:fldCharType="end"/>
      </w:r>
      <w:r>
        <w:fldChar w:fldCharType="end"/>
      </w:r>
    </w:p>
    <w:p w14:paraId="3BF1E610">
      <w:pPr>
        <w:pStyle w:val="11"/>
        <w:ind w:firstLine="482"/>
        <w:rPr>
          <w:szCs w:val="22"/>
        </w:rPr>
      </w:pPr>
      <w:r>
        <w:fldChar w:fldCharType="begin"/>
      </w:r>
      <w:r>
        <w:instrText xml:space="preserve"> HYPERLINK \l "_Toc471658528" </w:instrText>
      </w:r>
      <w:r>
        <w:fldChar w:fldCharType="separate"/>
      </w:r>
      <w:r>
        <w:rPr>
          <w:rStyle w:val="23"/>
        </w:rPr>
        <w:t>I X. References</w:t>
      </w:r>
      <w:r>
        <w:tab/>
      </w:r>
      <w:r>
        <w:fldChar w:fldCharType="begin"/>
      </w:r>
      <w:r>
        <w:instrText xml:space="preserve"> PAGEREF _Toc471658528 \h </w:instrText>
      </w:r>
      <w:r>
        <w:fldChar w:fldCharType="separate"/>
      </w:r>
      <w:r>
        <w:t>18</w:t>
      </w:r>
      <w:r>
        <w:fldChar w:fldCharType="end"/>
      </w:r>
      <w:r>
        <w:fldChar w:fldCharType="end"/>
      </w:r>
    </w:p>
    <w:p w14:paraId="4A13BC45">
      <w:pPr>
        <w:pStyle w:val="11"/>
        <w:ind w:firstLine="482"/>
        <w:rPr>
          <w:szCs w:val="22"/>
        </w:rPr>
      </w:pPr>
      <w:r>
        <w:fldChar w:fldCharType="begin"/>
      </w:r>
      <w:r>
        <w:instrText xml:space="preserve"> HYPERLINK \l "_Toc471658529" </w:instrText>
      </w:r>
      <w:r>
        <w:fldChar w:fldCharType="separate"/>
      </w:r>
      <w:r>
        <w:rPr>
          <w:rStyle w:val="23"/>
        </w:rPr>
        <w:t>X. Appendix</w:t>
      </w:r>
      <w:r>
        <w:tab/>
      </w:r>
      <w:r>
        <w:fldChar w:fldCharType="begin"/>
      </w:r>
      <w:r>
        <w:instrText xml:space="preserve"> PAGEREF _Toc471658529 \h </w:instrText>
      </w:r>
      <w:r>
        <w:fldChar w:fldCharType="separate"/>
      </w:r>
      <w:r>
        <w:t>18</w:t>
      </w:r>
      <w:r>
        <w:fldChar w:fldCharType="end"/>
      </w:r>
      <w:r>
        <w:fldChar w:fldCharType="end"/>
      </w:r>
    </w:p>
    <w:p w14:paraId="722A6F57">
      <w:pPr>
        <w:pStyle w:val="13"/>
        <w:ind w:right="-38" w:firstLine="424" w:firstLineChars="177"/>
        <w:rPr>
          <w:b/>
          <w:kern w:val="2"/>
          <w:sz w:val="21"/>
          <w:szCs w:val="22"/>
        </w:rPr>
      </w:pPr>
      <w:r>
        <w:fldChar w:fldCharType="begin"/>
      </w:r>
      <w:r>
        <w:instrText xml:space="preserve"> HYPERLINK \l "_Toc471658530" </w:instrText>
      </w:r>
      <w:r>
        <w:fldChar w:fldCharType="separate"/>
      </w:r>
      <w:r>
        <w:rPr>
          <w:rStyle w:val="23"/>
        </w:rPr>
        <w:t>10.1 Appendix One</w:t>
      </w:r>
      <w:r>
        <w:tab/>
      </w:r>
      <w:r>
        <w:fldChar w:fldCharType="begin"/>
      </w:r>
      <w:r>
        <w:instrText xml:space="preserve"> PAGEREF _Toc471658530 \h </w:instrText>
      </w:r>
      <w:r>
        <w:fldChar w:fldCharType="separate"/>
      </w:r>
      <w:r>
        <w:t>18</w:t>
      </w:r>
      <w:r>
        <w:fldChar w:fldCharType="end"/>
      </w:r>
      <w:r>
        <w:fldChar w:fldCharType="end"/>
      </w:r>
    </w:p>
    <w:p w14:paraId="60FE595C">
      <w:pPr>
        <w:pStyle w:val="13"/>
        <w:ind w:right="-38" w:firstLine="424" w:firstLineChars="177"/>
        <w:rPr>
          <w:b/>
          <w:kern w:val="2"/>
          <w:sz w:val="21"/>
          <w:szCs w:val="22"/>
        </w:rPr>
      </w:pPr>
      <w:r>
        <w:fldChar w:fldCharType="begin"/>
      </w:r>
      <w:r>
        <w:instrText xml:space="preserve"> HYPERLINK \l "_Toc471658531" </w:instrText>
      </w:r>
      <w:r>
        <w:fldChar w:fldCharType="separate"/>
      </w:r>
      <w:r>
        <w:rPr>
          <w:rStyle w:val="23"/>
        </w:rPr>
        <w:t>10.2 Appendix Two</w:t>
      </w:r>
      <w:r>
        <w:tab/>
      </w:r>
      <w:r>
        <w:fldChar w:fldCharType="begin"/>
      </w:r>
      <w:r>
        <w:instrText xml:space="preserve"> PAGEREF _Toc471658531 \h </w:instrText>
      </w:r>
      <w:r>
        <w:fldChar w:fldCharType="separate"/>
      </w:r>
      <w:r>
        <w:t>19</w:t>
      </w:r>
      <w:r>
        <w:fldChar w:fldCharType="end"/>
      </w:r>
      <w:r>
        <w:fldChar w:fldCharType="end"/>
      </w:r>
    </w:p>
    <w:p w14:paraId="18B708E6">
      <w:pPr>
        <w:pStyle w:val="13"/>
        <w:ind w:right="-38" w:firstLine="880"/>
      </w:pPr>
      <w:r>
        <w:rPr>
          <w:sz w:val="44"/>
          <w:szCs w:val="36"/>
        </w:rPr>
        <w:fldChar w:fldCharType="end"/>
      </w:r>
    </w:p>
    <w:p w14:paraId="40DD174D">
      <w:pPr>
        <w:ind w:firstLine="480"/>
      </w:pPr>
    </w:p>
    <w:p w14:paraId="7CD3C434">
      <w:pPr>
        <w:ind w:firstLine="480"/>
      </w:pPr>
    </w:p>
    <w:p w14:paraId="631AF9EC">
      <w:pPr>
        <w:ind w:firstLine="480"/>
      </w:pPr>
    </w:p>
    <w:p w14:paraId="1CF2B677">
      <w:pPr>
        <w:ind w:firstLine="480"/>
      </w:pPr>
    </w:p>
    <w:p w14:paraId="264EC401">
      <w:pPr>
        <w:ind w:firstLine="480"/>
      </w:pPr>
    </w:p>
    <w:p w14:paraId="36C22CDC">
      <w:pPr>
        <w:ind w:firstLine="480"/>
      </w:pPr>
    </w:p>
    <w:p w14:paraId="523FCD3C">
      <w:pPr>
        <w:ind w:firstLine="480"/>
      </w:pPr>
    </w:p>
    <w:p w14:paraId="74B1646A">
      <w:pPr>
        <w:ind w:firstLine="480"/>
      </w:pPr>
    </w:p>
    <w:p w14:paraId="54662CBE">
      <w:pPr>
        <w:autoSpaceDE w:val="0"/>
        <w:autoSpaceDN w:val="0"/>
        <w:adjustRightInd w:val="0"/>
        <w:ind w:left="274" w:leftChars="114" w:firstLine="480"/>
        <w:jc w:val="left"/>
        <w:rPr>
          <w:kern w:val="0"/>
        </w:rPr>
      </w:pPr>
    </w:p>
    <w:p w14:paraId="6ECF6723">
      <w:pPr>
        <w:autoSpaceDE w:val="0"/>
        <w:autoSpaceDN w:val="0"/>
        <w:adjustRightInd w:val="0"/>
        <w:ind w:left="274" w:leftChars="114" w:firstLine="480"/>
        <w:jc w:val="left"/>
        <w:rPr>
          <w:kern w:val="0"/>
        </w:rPr>
      </w:pPr>
    </w:p>
    <w:p w14:paraId="25B49C0F">
      <w:pPr>
        <w:autoSpaceDE w:val="0"/>
        <w:autoSpaceDN w:val="0"/>
        <w:adjustRightInd w:val="0"/>
        <w:ind w:left="274" w:leftChars="114" w:firstLine="480"/>
        <w:jc w:val="left"/>
        <w:rPr>
          <w:kern w:val="0"/>
        </w:rPr>
      </w:pPr>
    </w:p>
    <w:p w14:paraId="1CD3A61F">
      <w:pPr>
        <w:autoSpaceDE w:val="0"/>
        <w:autoSpaceDN w:val="0"/>
        <w:adjustRightInd w:val="0"/>
        <w:ind w:left="274" w:leftChars="114" w:firstLine="480"/>
        <w:jc w:val="left"/>
        <w:rPr>
          <w:kern w:val="0"/>
        </w:rPr>
      </w:pPr>
    </w:p>
    <w:p w14:paraId="7E98AF5A">
      <w:pPr>
        <w:autoSpaceDE w:val="0"/>
        <w:autoSpaceDN w:val="0"/>
        <w:adjustRightInd w:val="0"/>
        <w:ind w:left="274" w:leftChars="114" w:firstLine="480"/>
        <w:jc w:val="left"/>
        <w:rPr>
          <w:kern w:val="0"/>
        </w:rPr>
      </w:pPr>
    </w:p>
    <w:p w14:paraId="428C0376">
      <w:pPr>
        <w:autoSpaceDE w:val="0"/>
        <w:autoSpaceDN w:val="0"/>
        <w:adjustRightInd w:val="0"/>
        <w:ind w:left="274" w:leftChars="114" w:firstLine="480"/>
        <w:jc w:val="left"/>
        <w:rPr>
          <w:kern w:val="0"/>
        </w:rPr>
      </w:pPr>
    </w:p>
    <w:p w14:paraId="106D91C6">
      <w:pPr>
        <w:autoSpaceDE w:val="0"/>
        <w:autoSpaceDN w:val="0"/>
        <w:adjustRightInd w:val="0"/>
        <w:ind w:left="274" w:leftChars="114" w:firstLine="480"/>
        <w:jc w:val="left"/>
        <w:rPr>
          <w:kern w:val="0"/>
        </w:rPr>
      </w:pPr>
    </w:p>
    <w:p w14:paraId="567E0C7B">
      <w:pPr>
        <w:autoSpaceDE w:val="0"/>
        <w:autoSpaceDN w:val="0"/>
        <w:adjustRightInd w:val="0"/>
        <w:ind w:left="274" w:leftChars="114" w:firstLine="480"/>
        <w:jc w:val="left"/>
        <w:rPr>
          <w:kern w:val="0"/>
        </w:rPr>
      </w:pPr>
    </w:p>
    <w:p w14:paraId="3CB1A353">
      <w:pPr>
        <w:autoSpaceDE w:val="0"/>
        <w:autoSpaceDN w:val="0"/>
        <w:adjustRightInd w:val="0"/>
        <w:ind w:left="274" w:leftChars="114" w:firstLine="480"/>
        <w:jc w:val="left"/>
        <w:rPr>
          <w:kern w:val="0"/>
        </w:rPr>
      </w:pPr>
    </w:p>
    <w:p w14:paraId="05D37C6D">
      <w:pPr>
        <w:autoSpaceDE w:val="0"/>
        <w:autoSpaceDN w:val="0"/>
        <w:adjustRightInd w:val="0"/>
        <w:ind w:left="274" w:leftChars="114" w:firstLine="480"/>
        <w:jc w:val="left"/>
        <w:rPr>
          <w:kern w:val="0"/>
        </w:rPr>
      </w:pPr>
    </w:p>
    <w:p w14:paraId="1D5909D6">
      <w:pPr>
        <w:autoSpaceDE w:val="0"/>
        <w:autoSpaceDN w:val="0"/>
        <w:adjustRightInd w:val="0"/>
        <w:ind w:left="274" w:leftChars="114" w:firstLine="480"/>
        <w:jc w:val="left"/>
        <w:rPr>
          <w:kern w:val="0"/>
        </w:rPr>
      </w:pPr>
    </w:p>
    <w:p w14:paraId="7BDB1EF8">
      <w:pPr>
        <w:autoSpaceDE w:val="0"/>
        <w:autoSpaceDN w:val="0"/>
        <w:adjustRightInd w:val="0"/>
        <w:ind w:left="274" w:leftChars="114" w:firstLine="480"/>
        <w:jc w:val="left"/>
        <w:rPr>
          <w:kern w:val="0"/>
        </w:rPr>
      </w:pPr>
    </w:p>
    <w:p w14:paraId="20401432">
      <w:pPr>
        <w:autoSpaceDE w:val="0"/>
        <w:autoSpaceDN w:val="0"/>
        <w:adjustRightInd w:val="0"/>
        <w:ind w:left="274" w:leftChars="114" w:firstLine="440"/>
        <w:jc w:val="left"/>
        <w:rPr>
          <w:color w:val="FF0000"/>
          <w:kern w:val="0"/>
          <w:sz w:val="22"/>
        </w:rPr>
      </w:pPr>
      <w:r>
        <w:rPr>
          <w:color w:val="FF0000"/>
          <w:kern w:val="0"/>
          <w:sz w:val="22"/>
        </w:rPr>
        <w:t>从目录开始有页眉和页码，把“0000</w:t>
      </w:r>
      <w:r>
        <w:rPr>
          <w:rFonts w:hint="eastAsia"/>
          <w:color w:val="FF0000"/>
          <w:kern w:val="0"/>
          <w:sz w:val="22"/>
        </w:rPr>
        <w:t>00</w:t>
      </w:r>
      <w:r>
        <w:rPr>
          <w:color w:val="FF0000"/>
          <w:kern w:val="0"/>
          <w:sz w:val="22"/>
        </w:rPr>
        <w:t>0”改为自己的控制编号，页码会自动调整可以不用编辑。</w:t>
      </w:r>
    </w:p>
    <w:p w14:paraId="55537EA1">
      <w:pPr>
        <w:autoSpaceDE w:val="0"/>
        <w:autoSpaceDN w:val="0"/>
        <w:adjustRightInd w:val="0"/>
        <w:ind w:left="274" w:leftChars="114" w:firstLine="480"/>
        <w:jc w:val="left"/>
        <w:rPr>
          <w:kern w:val="0"/>
        </w:rPr>
      </w:pPr>
    </w:p>
    <w:p w14:paraId="7F2DD6BA">
      <w:pPr>
        <w:autoSpaceDE w:val="0"/>
        <w:autoSpaceDN w:val="0"/>
        <w:adjustRightInd w:val="0"/>
        <w:ind w:left="274" w:leftChars="114" w:firstLine="480"/>
        <w:jc w:val="left"/>
        <w:rPr>
          <w:kern w:val="0"/>
        </w:rPr>
      </w:pPr>
    </w:p>
    <w:p w14:paraId="1C93A186">
      <w:pPr>
        <w:pStyle w:val="2"/>
        <w:spacing w:before="312" w:beforeLines="100" w:after="312" w:afterLines="100" w:line="360" w:lineRule="auto"/>
        <w:ind w:firstLine="643"/>
      </w:pPr>
      <w:bookmarkStart w:id="1" w:name="_Toc471658476"/>
      <w:r>
        <w:t>I. Introduction</w:t>
      </w:r>
      <w:bookmarkEnd w:id="1"/>
    </w:p>
    <w:p w14:paraId="66A84035">
      <w:pPr>
        <w:pStyle w:val="3"/>
        <w:spacing w:before="312" w:beforeLines="100" w:after="312" w:afterLines="100" w:line="360" w:lineRule="auto"/>
        <w:ind w:firstLine="562"/>
        <w:rPr>
          <w:rFonts w:ascii="Times New Roman" w:hAnsi="Times New Roman"/>
          <w:kern w:val="0"/>
          <w:sz w:val="22"/>
        </w:rPr>
      </w:pPr>
      <w:bookmarkStart w:id="2" w:name="_Toc471658477"/>
      <w:r>
        <w:rPr>
          <w:rFonts w:ascii="Times New Roman" w:hAnsi="Times New Roman" w:eastAsia="宋体"/>
        </w:rPr>
        <w:t xml:space="preserve"> </w:t>
      </w:r>
      <w:r>
        <w:rPr>
          <w:rFonts w:ascii="Times New Roman" w:hAnsi="Times New Roman"/>
        </w:rPr>
        <w:t>Background</w:t>
      </w:r>
      <w:bookmarkEnd w:id="2"/>
    </w:p>
    <w:p w14:paraId="0F4621F4">
      <w:pPr>
        <w:widowControl/>
        <w:ind w:firstLine="440"/>
        <w:jc w:val="left"/>
        <w:rPr>
          <w:rFonts w:hint="eastAsia"/>
          <w:kern w:val="0"/>
          <w:sz w:val="22"/>
        </w:rPr>
      </w:pPr>
      <w:r>
        <w:rPr>
          <w:rFonts w:hint="eastAsia"/>
          <w:kern w:val="0"/>
          <w:sz w:val="22"/>
        </w:rPr>
        <w:t>奥林匹克运动会作为全球规模最大的综合性体育赛事，每届夏季奥运会不仅展示了各国顶尖运动员的竞技水平，也反映了各国在体育领域的综合实力。2024年在巴黎举办的夏季奥运会上，美国以总奖牌数126枚位居榜首，中国和美国在金牌数上并列第一，各获得40枚金牌。东道主法国在金牌榜上排名第五，获得16枚金牌，但在总奖牌数上排名第四，达到64枚。英国以14枚金牌排名第七，但在总奖牌数上却位居第三，共赢得65枚奖牌。此外，阿尔巴尼亚、佛得角、多米尼加和圣卢西亚等国家在本届奥运会上首次摘得奖牌，其中多米尼加和圣卢西亚还分别获得了金牌。这些成绩不仅激励了各国体育发展的积极性，也为未来奥运奖牌预测提供了宝贵的数据支持。</w:t>
      </w:r>
    </w:p>
    <w:p w14:paraId="1DB21480">
      <w:pPr>
        <w:widowControl/>
        <w:ind w:firstLine="440"/>
        <w:jc w:val="left"/>
        <w:rPr>
          <w:kern w:val="0"/>
          <w:sz w:val="22"/>
        </w:rPr>
      </w:pPr>
      <w:r>
        <w:rPr>
          <w:rFonts w:hint="eastAsia"/>
          <w:kern w:val="0"/>
          <w:sz w:val="22"/>
        </w:rPr>
        <w:t>预测奥运会的最终奖牌数目一直是体育分析的重要内容，然而大多数预测通常基于历史奖牌数据，或者在奥运会即将开始时根据现有运动员的参赛情况进行。随着数据分析技术的进步，利用更为详尽和全面的数据集进行奖牌预测成为可能。本研究旨在基于历届夏季奥运会的奖牌数据、主办国信息以及各届奥运会的比赛项目数量，构建一个精准的奖牌预测模型，以预测2028年洛杉矶夏季奥运会的奖牌分布情况，并探讨影响各国奖牌数变化的关键因素。</w:t>
      </w:r>
    </w:p>
    <w:p w14:paraId="5ACFD60A">
      <w:pPr>
        <w:widowControl/>
        <w:ind w:firstLine="0" w:firstLineChars="0"/>
        <w:jc w:val="center"/>
        <w:rPr>
          <w:rFonts w:hint="eastAsia"/>
        </w:rPr>
      </w:pPr>
      <w:r>
        <w:rPr>
          <w:rFonts w:hint="eastAsia"/>
        </w:rPr>
        <w:fldChar w:fldCharType="begin"/>
      </w:r>
      <w:r>
        <w:rPr>
          <w:rFonts w:hint="eastAsia"/>
        </w:rPr>
        <w:instrText xml:space="preserve"> INCLUDEPICTURE "https://www.logo9.net/logoulchart/allimg/1600422303(1).png" \* MERGEFORMATINET </w:instrText>
      </w:r>
      <w:r>
        <w:rPr>
          <w:rFonts w:hint="eastAsia"/>
        </w:rPr>
        <w:fldChar w:fldCharType="separate"/>
      </w:r>
      <w:r>
        <w:rPr>
          <w:rFonts w:hint="eastAsia"/>
        </w:rPr>
        <w:pict>
          <v:shape id="_x0000_i1026" o:spt="75" alt="2028年奥运史上首个动态会徽-诗宸标志设计" type="#_x0000_t75" style="height:160.85pt;width:232.4pt;" filled="f" o:preferrelative="t" stroked="f" coordsize="21600,21600">
            <v:path/>
            <v:fill on="f" focussize="0,0"/>
            <v:stroke on="f" joinstyle="miter"/>
            <v:imagedata r:id="rId14" r:href="rId15" cropleft="13521f" croptop="5350f" cropright="12678f" cropbottom="5775f" o:title=""/>
            <o:lock v:ext="edit" aspectratio="t"/>
            <w10:wrap type="none"/>
            <w10:anchorlock/>
          </v:shape>
        </w:pict>
      </w:r>
      <w:r>
        <w:rPr>
          <w:rFonts w:hint="eastAsia"/>
        </w:rPr>
        <w:fldChar w:fldCharType="end"/>
      </w:r>
    </w:p>
    <w:p w14:paraId="53C927FF">
      <w:pPr>
        <w:pStyle w:val="3"/>
        <w:spacing w:before="312" w:beforeLines="100" w:after="312" w:afterLines="100" w:line="360" w:lineRule="auto"/>
        <w:ind w:firstLine="562"/>
        <w:rPr>
          <w:rFonts w:ascii="Times New Roman" w:hAnsi="Times New Roman" w:eastAsia="宋体"/>
        </w:rPr>
      </w:pPr>
      <w:bookmarkStart w:id="3" w:name="_Toc471658478"/>
      <w:r>
        <w:rPr>
          <w:rFonts w:ascii="Times New Roman" w:hAnsi="Times New Roman" w:eastAsia="宋体"/>
        </w:rPr>
        <w:t xml:space="preserve"> Our works</w:t>
      </w:r>
      <w:bookmarkEnd w:id="3"/>
    </w:p>
    <w:p w14:paraId="33003B3F">
      <w:pPr>
        <w:widowControl/>
        <w:ind w:firstLine="480"/>
        <w:jc w:val="left"/>
        <w:rPr>
          <w:color w:val="000000"/>
          <w:kern w:val="0"/>
        </w:rPr>
      </w:pPr>
      <w:r>
        <w:rPr>
          <w:rFonts w:hint="eastAsia"/>
          <w:color w:val="000000"/>
          <w:kern w:val="0"/>
        </w:rPr>
        <w:t>在本研究中，首先针对奖牌数预测构建了一个多变量回归模型。</w:t>
      </w:r>
    </w:p>
    <w:p w14:paraId="28A2F521">
      <w:pPr>
        <w:widowControl/>
        <w:ind w:firstLine="480"/>
        <w:jc w:val="left"/>
        <w:rPr>
          <w:rFonts w:hint="eastAsia"/>
          <w:color w:val="000000"/>
          <w:kern w:val="0"/>
        </w:rPr>
      </w:pPr>
      <w:r>
        <w:rPr>
          <w:rFonts w:hint="eastAsia"/>
          <w:color w:val="000000"/>
          <w:kern w:val="0"/>
        </w:rPr>
        <w:t>任务一的核心是该模型综合考虑了历届夏季奥运会的历史奖牌数据、主办国效应、各国在不同体育项目中的优势表现以及新增项目对奖牌分布的潜在影响。通过对这些变量的深入分析，不仅能够预测各国在2028年洛杉矶夏季奥运会上的金牌和总奖牌数，还能够为模型的不确定性和预测精度提供量化估计。此外，还通过预测区间的设定，评估了各国奖牌数变化的可能范围，识别出在未来奥运会上有望提升或可能表现不佳的国家。</w:t>
      </w:r>
    </w:p>
    <w:p w14:paraId="1584BF1B">
      <w:pPr>
        <w:widowControl/>
        <w:ind w:firstLine="480"/>
        <w:jc w:val="left"/>
        <w:rPr>
          <w:rFonts w:hint="eastAsia"/>
          <w:color w:val="000000"/>
          <w:kern w:val="0"/>
        </w:rPr>
      </w:pPr>
      <w:r>
        <w:rPr>
          <w:rFonts w:hint="eastAsia"/>
          <w:color w:val="000000"/>
          <w:kern w:val="0"/>
        </w:rPr>
        <w:t>在任务二中，重点研究了“伟大教练”效应对奥运奖牌数的影响。通过分析教练员跨国执教带来的成绩提升现象，评估了顶尖教练在提升特定国家某些体育项目奖牌数中的作用。具体而言，选取了三个具有代表性的国家，识别出这些国家在某些关键体育项目中通过引进优秀教练可以显著提升奖牌数的领域。基于历史数据和教练员执教前后的成绩变化，估算了“伟大教练”效应对奖牌数的具体贡献，并为这些国家未来在相关体育项目中的投资决策提供了数据支持和策略建议。</w:t>
      </w:r>
    </w:p>
    <w:p w14:paraId="09F9C6F0">
      <w:pPr>
        <w:widowControl/>
        <w:ind w:firstLine="480"/>
        <w:jc w:val="left"/>
        <w:rPr>
          <w:rFonts w:hint="eastAsia"/>
          <w:color w:val="000000"/>
          <w:kern w:val="0"/>
        </w:rPr>
      </w:pPr>
      <w:r>
        <w:rPr>
          <w:rFonts w:hint="eastAsia"/>
          <w:color w:val="000000"/>
          <w:kern w:val="0"/>
        </w:rPr>
        <w:t>任务三则聚焦于模型揭示的其他奥运奖牌分布的独特见解。通过对模型结果的深入解读，发现了一些影响奖牌分布的关键因素，如主办国的项目设置对其奖牌数的显著影响、不同体育项目的竞争激烈程度以及新兴体育项目对奖牌分布的潜在重塑作用。这些发现不仅丰富了对奥运奖牌分布机制的理解，也为各国奥委会在制定体育发展战略时提供了有价值的参考。例如，某些国家在特定体育项目上的优势可以通过增加相关训练投入和资源配置得到进一步强化，从而在未来奥运会上取得更好的成绩。</w:t>
      </w:r>
    </w:p>
    <w:p w14:paraId="4E51A028">
      <w:pPr>
        <w:pStyle w:val="2"/>
        <w:spacing w:before="312" w:beforeLines="100" w:after="312" w:afterLines="100" w:line="360" w:lineRule="auto"/>
        <w:ind w:firstLine="643"/>
        <w:rPr>
          <w:rFonts w:eastAsiaTheme="minorEastAsia"/>
        </w:rPr>
      </w:pPr>
      <w:bookmarkStart w:id="4" w:name="_Toc471658479"/>
      <w:r>
        <w:t>II. The Description of the Problem</w:t>
      </w:r>
      <w:bookmarkEnd w:id="4"/>
    </w:p>
    <w:p w14:paraId="424B8189">
      <w:pPr>
        <w:ind w:firstLine="480"/>
      </w:pPr>
      <w:r>
        <w:t>通过对三个核心问题的深入分析，本研究全面构建并验证了各国在2028年洛杉矶夏季奥运会中的奖牌预测模型，系统评估了“伟大教练”效应对奖牌数的显著影响，并挖掘了影响奥运奖牌分布的多重因素。这一综合性的研究不仅为奖牌数的精准预测提供了科学依据，还揭示了教练资源配置和赛事项目多样性在提升国家竞争力中的关键作用。此外，模型所揭示的经济与人口复合影响、主办国效应及社会文化因素等见解，为各国奥委会制定长期体育发展战略、优化资源分配和提升训练体系提供了实证支持。</w:t>
      </w:r>
      <w:r>
        <w:rPr>
          <w:rFonts w:hint="eastAsia"/>
        </w:rPr>
        <w:t>具体问题思路如下图所示：</w:t>
      </w:r>
    </w:p>
    <w:p w14:paraId="40BE8F47">
      <w:pPr>
        <w:ind w:firstLine="0" w:firstLineChars="0"/>
        <w:jc w:val="center"/>
        <w:rPr>
          <w:rFonts w:hint="eastAsia"/>
        </w:rPr>
      </w:pPr>
      <w:r>
        <w:drawing>
          <wp:inline distT="0" distB="0" distL="0" distR="0">
            <wp:extent cx="4340860" cy="5146675"/>
            <wp:effectExtent l="0" t="0" r="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t="2304" b="2368"/>
                    <a:stretch>
                      <a:fillRect/>
                    </a:stretch>
                  </pic:blipFill>
                  <pic:spPr>
                    <a:xfrm>
                      <a:off x="0" y="0"/>
                      <a:ext cx="4340860" cy="5146675"/>
                    </a:xfrm>
                    <a:prstGeom prst="rect">
                      <a:avLst/>
                    </a:prstGeom>
                    <a:noFill/>
                    <a:ln>
                      <a:noFill/>
                    </a:ln>
                  </pic:spPr>
                </pic:pic>
              </a:graphicData>
            </a:graphic>
          </wp:inline>
        </w:drawing>
      </w:r>
    </w:p>
    <w:p w14:paraId="3609649B">
      <w:pPr>
        <w:ind w:firstLine="480"/>
        <w:rPr>
          <w:rFonts w:hint="eastAsia"/>
        </w:rPr>
      </w:pPr>
    </w:p>
    <w:p w14:paraId="2C79F680">
      <w:pPr>
        <w:pStyle w:val="31"/>
        <w:keepNext/>
        <w:keepLines/>
        <w:numPr>
          <w:ilvl w:val="0"/>
          <w:numId w:val="1"/>
        </w:numPr>
        <w:spacing w:before="380" w:after="380" w:line="416" w:lineRule="auto"/>
        <w:ind w:firstLineChars="0"/>
        <w:jc w:val="left"/>
        <w:outlineLvl w:val="1"/>
        <w:rPr>
          <w:b/>
          <w:bCs/>
          <w:vanish/>
          <w:sz w:val="28"/>
          <w:szCs w:val="32"/>
        </w:rPr>
      </w:pPr>
      <w:bookmarkStart w:id="5" w:name="_Toc471658480"/>
    </w:p>
    <w:bookmarkEnd w:id="5"/>
    <w:p w14:paraId="4F35135B">
      <w:pPr>
        <w:pStyle w:val="3"/>
        <w:ind w:firstLine="562"/>
        <w:rPr>
          <w:kern w:val="0"/>
          <w:sz w:val="24"/>
        </w:rPr>
      </w:pPr>
      <w:r>
        <w:rPr>
          <w:rFonts w:hint="eastAsia" w:ascii="宋体" w:hAnsi="宋体" w:eastAsia="宋体" w:cs="宋体"/>
        </w:rPr>
        <w:t>问题</w:t>
      </w:r>
      <w:r>
        <w:t>1</w:t>
      </w:r>
      <w:r>
        <w:rPr>
          <w:rFonts w:hint="eastAsia" w:ascii="宋体" w:hAnsi="宋体" w:eastAsia="宋体" w:cs="宋体"/>
        </w:rPr>
        <w:t>：各国奖牌数预测模型</w:t>
      </w:r>
    </w:p>
    <w:p w14:paraId="42346552">
      <w:pPr>
        <w:ind w:firstLine="480"/>
      </w:pPr>
      <w:r>
        <w:t>为了有效预测各国在2028年洛杉矶夏季奥运会中的金牌数和总奖牌数，我们构建了一个综合性的预测模型。该模型综合考虑了历届夏季奥运会的历史奖牌数据、各国的经济和人口指标、以及赛事项目的数量和类型等多重因素。通过分析这些变量之间的关系，我们能够估计每个国家在未来奥运会中的奖牌表现。此外，模型还特别关注那些尚未获得奖牌的国家，预测其在未来奥运会上首次夺牌的可能性。这一预测不仅依赖于国家的基本经济和人口状况，还结合了各国在不同体育项目中的历史优势和潜在发展空间，从而提供更为精准和全面的奖牌数预测。</w:t>
      </w:r>
    </w:p>
    <w:p w14:paraId="6F1FDDC4">
      <w:pPr>
        <w:pStyle w:val="3"/>
        <w:ind w:firstLine="562"/>
      </w:pPr>
      <w:r>
        <w:rPr>
          <w:rFonts w:hint="eastAsia" w:ascii="宋体" w:hAnsi="宋体" w:eastAsia="宋体" w:cs="宋体"/>
        </w:rPr>
        <w:t>问题</w:t>
      </w:r>
      <w:r>
        <w:t>2</w:t>
      </w:r>
      <w:r>
        <w:rPr>
          <w:rFonts w:hint="eastAsia" w:ascii="宋体" w:hAnsi="宋体" w:eastAsia="宋体" w:cs="宋体"/>
        </w:rPr>
        <w:t>：</w:t>
      </w:r>
      <w:r>
        <w:rPr>
          <w:rFonts w:cs="Arial"/>
        </w:rPr>
        <w:t>“</w:t>
      </w:r>
      <w:r>
        <w:rPr>
          <w:rFonts w:hint="eastAsia" w:ascii="宋体" w:hAnsi="宋体" w:eastAsia="宋体" w:cs="宋体"/>
        </w:rPr>
        <w:t>伟大教练</w:t>
      </w:r>
      <w:r>
        <w:rPr>
          <w:rFonts w:cs="Arial"/>
        </w:rPr>
        <w:t>”</w:t>
      </w:r>
      <w:r>
        <w:rPr>
          <w:rFonts w:hint="eastAsia" w:ascii="宋体" w:hAnsi="宋体" w:eastAsia="宋体" w:cs="宋体"/>
        </w:rPr>
        <w:t>效应分析模型</w:t>
      </w:r>
    </w:p>
    <w:p w14:paraId="348BA662">
      <w:pPr>
        <w:ind w:firstLine="480"/>
      </w:pPr>
      <w:r>
        <w:t>在奥运会的奖牌竞争中，教练的作用不可忽视。为了量化“伟大教练”对各国奖牌数的影响，我们构建了一个专门的分析模型。该模型通过识别和评估顶尖教练在不同国家和运动项目中的执教经历，分析他们对运动队成绩的具体贡献。通过对比有“伟大教练”执教和无“伟大教练”执教期间的奖牌数变化，我们能够估算出优秀教练对提升国家奖牌数的具体效应。进一步地，我们选择了三个具有代表性的国家，结合其关键运动项目，评估投资“伟大教练”可能带来的潜在影响，从而为各国奥委会在教练资源配置和引进策略上提供科学依据。</w:t>
      </w:r>
    </w:p>
    <w:p w14:paraId="6C7AD2F1">
      <w:pPr>
        <w:pStyle w:val="3"/>
        <w:ind w:firstLine="562"/>
      </w:pPr>
      <w:r>
        <w:rPr>
          <w:rFonts w:hint="eastAsia" w:ascii="宋体" w:hAnsi="宋体" w:eastAsia="宋体" w:cs="宋体"/>
        </w:rPr>
        <w:t>问题</w:t>
      </w:r>
      <w:r>
        <w:t>3</w:t>
      </w:r>
      <w:r>
        <w:rPr>
          <w:rFonts w:hint="eastAsia" w:ascii="宋体" w:hAnsi="宋体" w:eastAsia="宋体" w:cs="宋体"/>
        </w:rPr>
        <w:t>：奥运会奖牌数的其他原始见解及其对各国奥委会的启示</w:t>
      </w:r>
    </w:p>
    <w:p w14:paraId="5319DA40">
      <w:pPr>
        <w:ind w:firstLine="480"/>
        <w:rPr>
          <w:rFonts w:hint="eastAsia" w:ascii="宋体" w:hAnsi="宋体" w:cs="宋体"/>
          <w:kern w:val="0"/>
        </w:rPr>
      </w:pPr>
      <w:r>
        <w:t>除了奖牌数的预测和“伟大教练”效应的分析外，我们的模型还揭示了一些关于奥运会奖牌分布的独特见解。这些见解包括经济与人口指标的复合影响、赛事项目的多样性对奖牌分布的影响、以及主办国效应的长期影响等。例如，经济发达和人口众多的国家在奖牌竞争中往往具有优势，但这种优势需要通过有效的资源配置和训练体系来实现。此外，赛事项目的多样性不仅影响总奖牌数，还决定了各国在特定项目上的竞争力。主办国效应则表明，作为主办国的国家在举办奥运会期间通常会获得更多奖牌，这一效应可能源自于基础设施的改善和运动员训练水平的提升。通过这些原始见解，各国奥委会可以更好地制定体育发展战略，优化资源投入，提升在国际赛事中的竞争力。</w:t>
      </w:r>
    </w:p>
    <w:p w14:paraId="21D6AAF5">
      <w:pPr>
        <w:pStyle w:val="2"/>
        <w:spacing w:before="312" w:beforeLines="100" w:after="312" w:afterLines="100" w:line="360" w:lineRule="auto"/>
        <w:ind w:firstLine="643"/>
      </w:pPr>
      <w:bookmarkStart w:id="6" w:name="_Toc379853042"/>
      <w:bookmarkStart w:id="7" w:name="_Toc379849372"/>
      <w:bookmarkStart w:id="8" w:name="_Toc379849510"/>
      <w:bookmarkStart w:id="9" w:name="_Toc379849291"/>
      <w:bookmarkStart w:id="10" w:name="_Toc379849426"/>
      <w:bookmarkStart w:id="11" w:name="_Toc379854646"/>
      <w:bookmarkStart w:id="12" w:name="_Toc379852984"/>
      <w:bookmarkStart w:id="13" w:name="_Toc471658486"/>
      <w:r>
        <w:t>III. Basic assumption</w:t>
      </w:r>
      <w:bookmarkEnd w:id="6"/>
      <w:bookmarkEnd w:id="7"/>
      <w:bookmarkEnd w:id="8"/>
      <w:bookmarkEnd w:id="9"/>
      <w:bookmarkEnd w:id="10"/>
      <w:bookmarkEnd w:id="11"/>
      <w:bookmarkEnd w:id="12"/>
      <w:bookmarkEnd w:id="13"/>
    </w:p>
    <w:p w14:paraId="6A92BA9F">
      <w:pPr>
        <w:widowControl/>
        <w:numPr>
          <w:ilvl w:val="0"/>
          <w:numId w:val="3"/>
        </w:numPr>
        <w:spacing w:before="100" w:beforeAutospacing="1" w:after="100" w:afterAutospacing="1"/>
        <w:ind w:firstLineChars="0"/>
        <w:jc w:val="left"/>
        <w:rPr>
          <w:rFonts w:ascii="宋体" w:hAnsi="宋体" w:cs="宋体"/>
          <w:kern w:val="0"/>
          <w:szCs w:val="24"/>
        </w:rPr>
      </w:pPr>
      <w:r>
        <w:rPr>
          <w:rFonts w:ascii="宋体" w:hAnsi="宋体" w:cs="宋体"/>
          <w:b/>
          <w:bCs/>
          <w:kern w:val="0"/>
          <w:szCs w:val="24"/>
        </w:rPr>
        <w:t>奖牌数的独立性与分布假设</w:t>
      </w:r>
    </w:p>
    <w:p w14:paraId="1A0E51E3">
      <w:pPr>
        <w:widowControl/>
        <w:spacing w:before="100" w:beforeAutospacing="1" w:after="100" w:afterAutospacing="1"/>
        <w:ind w:left="420" w:firstLine="0" w:firstLineChars="0"/>
        <w:jc w:val="left"/>
        <w:rPr>
          <w:rFonts w:ascii="宋体" w:hAnsi="宋体" w:cs="宋体"/>
          <w:kern w:val="0"/>
          <w:szCs w:val="24"/>
        </w:rPr>
      </w:pPr>
      <w:r>
        <w:rPr>
          <w:rFonts w:ascii="宋体" w:hAnsi="宋体" w:cs="宋体"/>
          <w:kern w:val="0"/>
          <w:szCs w:val="24"/>
        </w:rPr>
        <w:t>假设各国在不同届奥运会中的奖牌数相互独立，且金牌数服从负二项分布，以处理数据中的过度分散现象。这一假设确保模型能够准确反映实际数据的统计特性，提高预测的可靠性。</w:t>
      </w:r>
    </w:p>
    <w:p w14:paraId="32682910">
      <w:pPr>
        <w:widowControl/>
        <w:numPr>
          <w:ilvl w:val="0"/>
          <w:numId w:val="3"/>
        </w:numPr>
        <w:spacing w:before="100" w:beforeAutospacing="1" w:after="100" w:afterAutospacing="1"/>
        <w:ind w:firstLineChars="0"/>
        <w:jc w:val="left"/>
        <w:rPr>
          <w:rFonts w:ascii="宋体" w:hAnsi="宋体" w:cs="宋体"/>
          <w:kern w:val="0"/>
          <w:szCs w:val="24"/>
        </w:rPr>
      </w:pPr>
      <w:r>
        <w:rPr>
          <w:rFonts w:ascii="宋体" w:hAnsi="宋体" w:cs="宋体"/>
          <w:b/>
          <w:bCs/>
          <w:kern w:val="0"/>
          <w:szCs w:val="24"/>
        </w:rPr>
        <w:t>线性关系与链接函数的适用性</w:t>
      </w:r>
    </w:p>
    <w:p w14:paraId="60FC1C1C">
      <w:pPr>
        <w:widowControl/>
        <w:spacing w:before="100" w:beforeAutospacing="1" w:after="100" w:afterAutospacing="1"/>
        <w:ind w:left="420" w:firstLine="0" w:firstLineChars="0"/>
        <w:jc w:val="left"/>
        <w:rPr>
          <w:rFonts w:ascii="宋体" w:hAnsi="宋体" w:cs="宋体"/>
          <w:kern w:val="0"/>
          <w:szCs w:val="24"/>
        </w:rPr>
      </w:pPr>
      <w:r>
        <w:rPr>
          <w:rFonts w:ascii="宋体" w:hAnsi="宋体" w:cs="宋体"/>
          <w:kern w:val="0"/>
          <w:szCs w:val="24"/>
        </w:rPr>
        <w:t>假设各自变量（如GDP、人口规模等）与响应变量（金牌数和总奖牌数）之间存在线性关系，并采用对数链接函数将期望奖牌数与自变量的线性组合关联。这保证了模型的解释性和计算的简便性。</w:t>
      </w:r>
    </w:p>
    <w:p w14:paraId="42CF3B15">
      <w:pPr>
        <w:widowControl/>
        <w:numPr>
          <w:ilvl w:val="0"/>
          <w:numId w:val="3"/>
        </w:numPr>
        <w:spacing w:before="100" w:beforeAutospacing="1" w:after="100" w:afterAutospacing="1"/>
        <w:ind w:firstLineChars="0"/>
        <w:jc w:val="left"/>
        <w:rPr>
          <w:rFonts w:ascii="宋体" w:hAnsi="宋体" w:cs="宋体"/>
          <w:kern w:val="0"/>
          <w:szCs w:val="24"/>
        </w:rPr>
      </w:pPr>
      <w:r>
        <w:rPr>
          <w:rFonts w:ascii="宋体" w:hAnsi="宋体" w:cs="宋体"/>
          <w:b/>
          <w:bCs/>
          <w:kern w:val="0"/>
          <w:szCs w:val="24"/>
        </w:rPr>
        <w:t>随机效应的正态分布假设</w:t>
      </w:r>
    </w:p>
    <w:p w14:paraId="231A7776">
      <w:pPr>
        <w:widowControl/>
        <w:spacing w:before="100" w:beforeAutospacing="1" w:after="100" w:afterAutospacing="1"/>
        <w:ind w:left="420" w:firstLine="0" w:firstLineChars="0"/>
        <w:jc w:val="left"/>
        <w:rPr>
          <w:rFonts w:ascii="宋体" w:hAnsi="宋体" w:cs="宋体"/>
          <w:kern w:val="0"/>
          <w:szCs w:val="24"/>
        </w:rPr>
      </w:pPr>
      <w:r>
        <w:rPr>
          <w:rFonts w:ascii="宋体" w:hAnsi="宋体" w:cs="宋体"/>
          <w:kern w:val="0"/>
          <w:szCs w:val="24"/>
        </w:rPr>
        <w:t>假设模型中的国家和届次随机效应服从正态分布。这一假设允许模型捕捉到国家间及不同届次之间的异质性，控制不可观测的固定差异，从而提升模型的稳健性和泛化能力。</w:t>
      </w:r>
    </w:p>
    <w:p w14:paraId="4965B3BF">
      <w:pPr>
        <w:widowControl/>
        <w:numPr>
          <w:ilvl w:val="0"/>
          <w:numId w:val="3"/>
        </w:numPr>
        <w:spacing w:before="100" w:beforeAutospacing="1" w:after="100" w:afterAutospacing="1"/>
        <w:ind w:firstLineChars="0"/>
        <w:jc w:val="left"/>
        <w:rPr>
          <w:rFonts w:ascii="宋体" w:hAnsi="宋体" w:cs="宋体"/>
          <w:kern w:val="0"/>
          <w:szCs w:val="24"/>
        </w:rPr>
      </w:pPr>
      <w:r>
        <w:rPr>
          <w:rFonts w:ascii="宋体" w:hAnsi="宋体" w:cs="宋体"/>
          <w:b/>
          <w:bCs/>
          <w:kern w:val="0"/>
          <w:szCs w:val="24"/>
        </w:rPr>
        <w:t>变量的充分性与无遗漏</w:t>
      </w:r>
    </w:p>
    <w:p w14:paraId="5DAD83F8">
      <w:pPr>
        <w:widowControl/>
        <w:spacing w:before="100" w:beforeAutospacing="1" w:after="100" w:afterAutospacing="1"/>
        <w:ind w:left="420" w:firstLine="0" w:firstLineChars="0"/>
        <w:jc w:val="left"/>
        <w:rPr>
          <w:rFonts w:ascii="宋体" w:hAnsi="宋体" w:cs="宋体"/>
          <w:kern w:val="0"/>
          <w:szCs w:val="24"/>
        </w:rPr>
      </w:pPr>
      <w:r>
        <w:rPr>
          <w:rFonts w:ascii="宋体" w:hAnsi="宋体" w:cs="宋体"/>
          <w:kern w:val="0"/>
          <w:szCs w:val="24"/>
        </w:rPr>
        <w:t>假设所选取的自变量能够充分解释奖牌数的变化，且模型中不存在重要的遗漏变量。包括经济指标、人口规模、历史奖牌数、是否为主办国等关键因素，以减少模型偏误，提升预测准确性。</w:t>
      </w:r>
    </w:p>
    <w:p w14:paraId="64ACBC46">
      <w:pPr>
        <w:widowControl/>
        <w:numPr>
          <w:ilvl w:val="0"/>
          <w:numId w:val="3"/>
        </w:numPr>
        <w:spacing w:before="100" w:beforeAutospacing="1" w:after="100" w:afterAutospacing="1"/>
        <w:ind w:firstLineChars="0"/>
        <w:jc w:val="left"/>
        <w:rPr>
          <w:rFonts w:ascii="宋体" w:hAnsi="宋体" w:cs="宋体"/>
          <w:kern w:val="0"/>
          <w:szCs w:val="24"/>
        </w:rPr>
      </w:pPr>
      <w:r>
        <w:rPr>
          <w:rFonts w:ascii="宋体" w:hAnsi="宋体" w:cs="宋体"/>
          <w:b/>
          <w:bCs/>
          <w:kern w:val="0"/>
          <w:szCs w:val="24"/>
        </w:rPr>
        <w:t>教练效应的稳定性与可测性</w:t>
      </w:r>
    </w:p>
    <w:p w14:paraId="51BFBAF2">
      <w:pPr>
        <w:widowControl/>
        <w:spacing w:before="100" w:beforeAutospacing="1" w:after="100" w:afterAutospacing="1"/>
        <w:ind w:left="420" w:firstLine="0" w:firstLineChars="0"/>
        <w:jc w:val="left"/>
        <w:rPr>
          <w:rFonts w:ascii="宋体" w:hAnsi="宋体" w:cs="宋体"/>
          <w:kern w:val="0"/>
          <w:szCs w:val="24"/>
        </w:rPr>
      </w:pPr>
      <w:r>
        <w:rPr>
          <w:rFonts w:ascii="宋体" w:hAnsi="宋体" w:cs="宋体"/>
          <w:kern w:val="0"/>
          <w:szCs w:val="24"/>
        </w:rPr>
        <w:t>假设“伟大教练”的效应在不同国家和运动项目中具有一定的稳定性，并能够通过模型中的回归系数有效量化。这意味着引入优秀教练能够系统性地提升奖牌数，且该效应不受其他未观测因素的显著干扰。</w:t>
      </w:r>
    </w:p>
    <w:p w14:paraId="60CD9437">
      <w:pPr>
        <w:widowControl/>
        <w:ind w:firstLine="480"/>
        <w:jc w:val="left"/>
        <w:rPr>
          <w:kern w:val="0"/>
        </w:rPr>
      </w:pPr>
    </w:p>
    <w:p w14:paraId="49BBFEA9">
      <w:pPr>
        <w:pStyle w:val="2"/>
        <w:spacing w:before="312" w:beforeLines="100" w:after="312" w:afterLines="100" w:line="360" w:lineRule="auto"/>
        <w:ind w:firstLine="643"/>
      </w:pPr>
      <w:bookmarkStart w:id="14" w:name="_Toc379849511"/>
      <w:bookmarkStart w:id="15" w:name="_Toc379853043"/>
      <w:bookmarkStart w:id="16" w:name="_Toc379852985"/>
      <w:bookmarkStart w:id="17" w:name="_Toc379849292"/>
      <w:bookmarkStart w:id="18" w:name="_Toc379849427"/>
      <w:bookmarkStart w:id="19" w:name="_Toc379849373"/>
      <w:bookmarkStart w:id="20" w:name="_Toc379854647"/>
      <w:bookmarkStart w:id="21" w:name="_Toc471658487"/>
      <w:r>
        <w:t>IV. Glossary &amp; Symbols</w:t>
      </w:r>
      <w:bookmarkEnd w:id="14"/>
      <w:bookmarkEnd w:id="15"/>
      <w:bookmarkEnd w:id="16"/>
      <w:bookmarkEnd w:id="17"/>
      <w:bookmarkEnd w:id="18"/>
      <w:bookmarkEnd w:id="19"/>
      <w:bookmarkEnd w:id="20"/>
      <w:bookmarkEnd w:id="21"/>
    </w:p>
    <w:p w14:paraId="4C257CD3">
      <w:pPr>
        <w:pStyle w:val="31"/>
        <w:keepNext/>
        <w:keepLines/>
        <w:numPr>
          <w:ilvl w:val="0"/>
          <w:numId w:val="1"/>
        </w:numPr>
        <w:spacing w:before="380" w:after="380" w:line="416" w:lineRule="auto"/>
        <w:ind w:firstLineChars="0"/>
        <w:jc w:val="left"/>
        <w:outlineLvl w:val="1"/>
        <w:rPr>
          <w:rFonts w:eastAsia="Times New Roman"/>
          <w:b/>
          <w:bCs/>
          <w:vanish/>
          <w:sz w:val="28"/>
          <w:szCs w:val="32"/>
        </w:rPr>
      </w:pPr>
      <w:bookmarkStart w:id="22" w:name="_Toc471658488"/>
    </w:p>
    <w:p w14:paraId="553285EA">
      <w:pPr>
        <w:pStyle w:val="31"/>
        <w:keepNext/>
        <w:keepLines/>
        <w:numPr>
          <w:ilvl w:val="0"/>
          <w:numId w:val="1"/>
        </w:numPr>
        <w:spacing w:before="380" w:after="380" w:line="416" w:lineRule="auto"/>
        <w:ind w:firstLineChars="0"/>
        <w:jc w:val="left"/>
        <w:outlineLvl w:val="1"/>
        <w:rPr>
          <w:rFonts w:eastAsia="Times New Roman"/>
          <w:b/>
          <w:bCs/>
          <w:vanish/>
          <w:sz w:val="28"/>
          <w:szCs w:val="32"/>
        </w:rPr>
      </w:pPr>
    </w:p>
    <w:p w14:paraId="0E4844FE">
      <w:pPr>
        <w:pStyle w:val="3"/>
        <w:spacing w:before="312" w:beforeLines="100" w:after="312" w:afterLines="100" w:line="360" w:lineRule="auto"/>
        <w:ind w:firstLine="562"/>
        <w:rPr>
          <w:rFonts w:ascii="Times New Roman" w:hAnsi="Times New Roman" w:eastAsia="宋体"/>
        </w:rPr>
      </w:pPr>
      <w:r>
        <w:rPr>
          <w:rFonts w:ascii="Times New Roman" w:hAnsi="Times New Roman" w:eastAsia="宋体"/>
        </w:rPr>
        <w:t xml:space="preserve"> Glossary</w:t>
      </w:r>
      <w:bookmarkEnd w:id="22"/>
    </w:p>
    <w:p w14:paraId="058B75BB">
      <w:pPr>
        <w:widowControl/>
        <w:numPr>
          <w:ilvl w:val="0"/>
          <w:numId w:val="4"/>
        </w:numPr>
        <w:ind w:firstLine="480"/>
        <w:jc w:val="left"/>
        <w:rPr>
          <w:kern w:val="0"/>
          <w:szCs w:val="24"/>
        </w:rPr>
      </w:pPr>
      <w:r>
        <w:rPr>
          <w:kern w:val="0"/>
          <w:szCs w:val="24"/>
        </w:rPr>
        <w:t>Load degree: V / C is maximum traffic service divided by basic capacity under ideal conditions,. The basic capacity is the maximum amount of traffic on the four-hour service level half.</w:t>
      </w:r>
    </w:p>
    <w:p w14:paraId="523035EA">
      <w:pPr>
        <w:widowControl/>
        <w:numPr>
          <w:ilvl w:val="0"/>
          <w:numId w:val="4"/>
        </w:numPr>
        <w:ind w:firstLine="440"/>
        <w:jc w:val="left"/>
        <w:rPr>
          <w:kern w:val="0"/>
          <w:sz w:val="22"/>
        </w:rPr>
      </w:pPr>
    </w:p>
    <w:p w14:paraId="1E912794">
      <w:pPr>
        <w:widowControl/>
        <w:ind w:firstLine="0" w:firstLineChars="0"/>
        <w:jc w:val="left"/>
        <w:rPr>
          <w:kern w:val="0"/>
          <w:sz w:val="22"/>
        </w:rPr>
      </w:pPr>
    </w:p>
    <w:p w14:paraId="41A81CE0">
      <w:pPr>
        <w:widowControl/>
        <w:ind w:firstLine="480"/>
        <w:jc w:val="left"/>
        <w:rPr>
          <w:kern w:val="0"/>
        </w:rPr>
      </w:pPr>
    </w:p>
    <w:p w14:paraId="69689B7C">
      <w:pPr>
        <w:pStyle w:val="3"/>
        <w:spacing w:before="312" w:beforeLines="100" w:after="312" w:afterLines="100" w:line="360" w:lineRule="auto"/>
        <w:ind w:firstLine="562"/>
        <w:rPr>
          <w:rFonts w:ascii="Times New Roman" w:hAnsi="Times New Roman" w:eastAsia="宋体"/>
        </w:rPr>
      </w:pPr>
      <w:bookmarkStart w:id="23" w:name="_Toc471658489"/>
      <w:r>
        <w:rPr>
          <w:rFonts w:ascii="Times New Roman" w:hAnsi="Times New Roman" w:eastAsia="宋体"/>
        </w:rPr>
        <w:t xml:space="preserve"> Symbols</w:t>
      </w:r>
      <w:bookmarkEnd w:id="23"/>
    </w:p>
    <w:tbl>
      <w:tblPr>
        <w:tblStyle w:val="16"/>
        <w:tblW w:w="8117"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3"/>
        <w:gridCol w:w="5324"/>
        <w:gridCol w:w="1270"/>
      </w:tblGrid>
      <w:tr w14:paraId="67C4975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3" w:type="dxa"/>
            <w:tcBorders>
              <w:bottom w:val="single" w:color="000000" w:sz="6" w:space="0"/>
              <w:right w:val="single" w:color="000000" w:sz="6" w:space="0"/>
            </w:tcBorders>
          </w:tcPr>
          <w:p w14:paraId="6D21C347">
            <w:pPr>
              <w:spacing w:before="93" w:beforeLines="30" w:after="93" w:afterLines="30" w:line="240" w:lineRule="exact"/>
              <w:ind w:firstLine="482"/>
              <w:jc w:val="center"/>
              <w:rPr>
                <w:b/>
                <w:bCs/>
                <w:i/>
                <w:iCs/>
                <w:szCs w:val="22"/>
              </w:rPr>
            </w:pPr>
            <w:r>
              <w:rPr>
                <w:b/>
                <w:bCs/>
                <w:i/>
                <w:iCs/>
                <w:szCs w:val="22"/>
              </w:rPr>
              <w:t>Symbols</w:t>
            </w:r>
          </w:p>
        </w:tc>
        <w:tc>
          <w:tcPr>
            <w:tcW w:w="5798" w:type="dxa"/>
            <w:tcBorders>
              <w:bottom w:val="single" w:color="000000" w:sz="6" w:space="0"/>
              <w:right w:val="single" w:color="FFFFFF" w:sz="4" w:space="0"/>
            </w:tcBorders>
          </w:tcPr>
          <w:p w14:paraId="434D75D3">
            <w:pPr>
              <w:spacing w:before="93" w:beforeLines="30" w:after="93" w:afterLines="30" w:line="240" w:lineRule="exact"/>
              <w:ind w:firstLine="482"/>
              <w:jc w:val="center"/>
              <w:rPr>
                <w:b/>
                <w:bCs/>
                <w:i/>
                <w:iCs/>
                <w:szCs w:val="22"/>
              </w:rPr>
            </w:pPr>
            <w:r>
              <w:rPr>
                <w:b/>
                <w:bCs/>
                <w:i/>
                <w:iCs/>
                <w:szCs w:val="22"/>
              </w:rPr>
              <w:t>Definition</w:t>
            </w:r>
          </w:p>
        </w:tc>
        <w:tc>
          <w:tcPr>
            <w:tcW w:w="1276" w:type="dxa"/>
            <w:tcBorders>
              <w:left w:val="single" w:color="FFFFFF" w:sz="4" w:space="0"/>
              <w:bottom w:val="single" w:color="000000" w:sz="6" w:space="0"/>
            </w:tcBorders>
          </w:tcPr>
          <w:p w14:paraId="0DAE0363">
            <w:pPr>
              <w:spacing w:before="93" w:beforeLines="30" w:after="93" w:afterLines="30" w:line="240" w:lineRule="exact"/>
              <w:ind w:firstLine="482"/>
              <w:jc w:val="center"/>
              <w:rPr>
                <w:b/>
                <w:bCs/>
                <w:i/>
                <w:iCs/>
                <w:szCs w:val="22"/>
              </w:rPr>
            </w:pPr>
            <w:r>
              <w:rPr>
                <w:b/>
                <w:bCs/>
                <w:i/>
                <w:iCs/>
                <w:szCs w:val="22"/>
              </w:rPr>
              <w:t>Units</w:t>
            </w:r>
          </w:p>
        </w:tc>
      </w:tr>
      <w:tr w14:paraId="3102F64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043" w:type="dxa"/>
            <w:tcBorders>
              <w:right w:val="single" w:color="000000" w:sz="6" w:space="0"/>
            </w:tcBorders>
          </w:tcPr>
          <w:p w14:paraId="7BF0105E">
            <w:pPr>
              <w:spacing w:before="93" w:beforeLines="30" w:after="93" w:afterLines="30" w:line="240" w:lineRule="exact"/>
              <w:ind w:firstLine="442"/>
              <w:jc w:val="center"/>
              <w:rPr>
                <w:b/>
                <w:bCs/>
                <w:sz w:val="22"/>
                <w:szCs w:val="22"/>
              </w:rPr>
            </w:pPr>
            <w:r>
              <w:rPr>
                <w:b/>
                <w:bCs/>
                <w:sz w:val="22"/>
                <w:szCs w:val="22"/>
              </w:rPr>
              <w:t>Z</w:t>
            </w:r>
          </w:p>
        </w:tc>
        <w:tc>
          <w:tcPr>
            <w:tcW w:w="5798" w:type="dxa"/>
            <w:tcBorders>
              <w:right w:val="single" w:color="FFFFFF" w:sz="4" w:space="0"/>
            </w:tcBorders>
          </w:tcPr>
          <w:p w14:paraId="43B0E5D4">
            <w:pPr>
              <w:spacing w:before="93" w:beforeLines="30" w:after="93" w:afterLines="30" w:line="240" w:lineRule="exact"/>
              <w:ind w:firstLine="440"/>
              <w:jc w:val="center"/>
              <w:rPr>
                <w:sz w:val="22"/>
                <w:szCs w:val="22"/>
              </w:rPr>
            </w:pPr>
            <w:r>
              <w:rPr>
                <w:sz w:val="22"/>
                <w:szCs w:val="22"/>
              </w:rPr>
              <w:t>The index of development</w:t>
            </w:r>
          </w:p>
        </w:tc>
        <w:tc>
          <w:tcPr>
            <w:tcW w:w="1276" w:type="dxa"/>
            <w:tcBorders>
              <w:left w:val="single" w:color="FFFFFF" w:sz="4" w:space="0"/>
            </w:tcBorders>
          </w:tcPr>
          <w:p w14:paraId="746DBD45">
            <w:pPr>
              <w:spacing w:before="93" w:beforeLines="30" w:after="93" w:afterLines="30" w:line="240" w:lineRule="exact"/>
              <w:ind w:left="38" w:leftChars="16" w:firstLine="440"/>
              <w:jc w:val="center"/>
              <w:rPr>
                <w:sz w:val="22"/>
                <w:szCs w:val="22"/>
              </w:rPr>
            </w:pPr>
            <w:r>
              <w:rPr>
                <w:sz w:val="22"/>
                <w:szCs w:val="22"/>
              </w:rPr>
              <w:t>J</w:t>
            </w:r>
          </w:p>
        </w:tc>
      </w:tr>
      <w:tr w14:paraId="110C065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43" w:type="dxa"/>
            <w:tcBorders>
              <w:right w:val="single" w:color="000000" w:sz="6" w:space="0"/>
            </w:tcBorders>
          </w:tcPr>
          <w:p w14:paraId="59AFDA16">
            <w:pPr>
              <w:spacing w:before="93" w:beforeLines="30" w:after="93" w:afterLines="30" w:line="240" w:lineRule="exact"/>
              <w:ind w:firstLine="442"/>
              <w:jc w:val="center"/>
              <w:rPr>
                <w:b/>
                <w:bCs/>
                <w:sz w:val="22"/>
                <w:szCs w:val="22"/>
              </w:rPr>
            </w:pPr>
            <w:r>
              <w:rPr>
                <w:b/>
                <w:bCs/>
                <w:sz w:val="22"/>
                <w:szCs w:val="22"/>
              </w:rPr>
              <w:t>CI</w:t>
            </w:r>
          </w:p>
        </w:tc>
        <w:tc>
          <w:tcPr>
            <w:tcW w:w="5798" w:type="dxa"/>
            <w:tcBorders>
              <w:right w:val="single" w:color="FFFFFF" w:sz="4" w:space="0"/>
            </w:tcBorders>
          </w:tcPr>
          <w:p w14:paraId="4A4E7055">
            <w:pPr>
              <w:spacing w:before="93" w:beforeLines="30" w:after="93" w:afterLines="30" w:line="240" w:lineRule="exact"/>
              <w:ind w:firstLine="440"/>
              <w:jc w:val="center"/>
              <w:rPr>
                <w:sz w:val="22"/>
                <w:szCs w:val="22"/>
              </w:rPr>
            </w:pPr>
            <w:r>
              <w:rPr>
                <w:sz w:val="22"/>
                <w:szCs w:val="22"/>
              </w:rPr>
              <w:t>Coordinated index of development</w:t>
            </w:r>
          </w:p>
        </w:tc>
        <w:tc>
          <w:tcPr>
            <w:tcW w:w="1276" w:type="dxa"/>
            <w:tcBorders>
              <w:left w:val="single" w:color="FFFFFF" w:sz="4" w:space="0"/>
            </w:tcBorders>
          </w:tcPr>
          <w:p w14:paraId="3E384DC3">
            <w:pPr>
              <w:spacing w:before="93" w:beforeLines="30" w:after="93" w:afterLines="30" w:line="240" w:lineRule="exact"/>
              <w:ind w:firstLine="440"/>
              <w:jc w:val="center"/>
              <w:rPr>
                <w:sz w:val="22"/>
                <w:szCs w:val="22"/>
              </w:rPr>
            </w:pPr>
            <w:r>
              <w:rPr>
                <w:sz w:val="22"/>
                <w:szCs w:val="22"/>
              </w:rPr>
              <w:t>J</w:t>
            </w:r>
          </w:p>
        </w:tc>
      </w:tr>
      <w:tr w14:paraId="2A011E8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1043" w:type="dxa"/>
            <w:tcBorders>
              <w:right w:val="single" w:color="000000" w:sz="6" w:space="0"/>
            </w:tcBorders>
          </w:tcPr>
          <w:p w14:paraId="155CCD11">
            <w:pPr>
              <w:spacing w:before="93" w:beforeLines="30" w:after="93" w:afterLines="30" w:line="240" w:lineRule="exact"/>
              <w:ind w:firstLine="442"/>
              <w:jc w:val="center"/>
              <w:rPr>
                <w:b/>
                <w:bCs/>
                <w:sz w:val="22"/>
                <w:szCs w:val="22"/>
              </w:rPr>
            </w:pPr>
            <w:r>
              <w:rPr>
                <w:b/>
                <w:bCs/>
                <w:sz w:val="22"/>
                <w:szCs w:val="22"/>
              </w:rPr>
              <w:t>DI</w:t>
            </w:r>
          </w:p>
        </w:tc>
        <w:tc>
          <w:tcPr>
            <w:tcW w:w="5798" w:type="dxa"/>
            <w:tcBorders>
              <w:right w:val="single" w:color="FFFFFF" w:sz="4" w:space="0"/>
            </w:tcBorders>
          </w:tcPr>
          <w:p w14:paraId="2433D042">
            <w:pPr>
              <w:spacing w:before="93" w:beforeLines="30" w:after="93" w:afterLines="30" w:line="240" w:lineRule="exact"/>
              <w:ind w:firstLine="440"/>
              <w:jc w:val="center"/>
              <w:rPr>
                <w:sz w:val="22"/>
                <w:szCs w:val="22"/>
              </w:rPr>
            </w:pPr>
            <w:r>
              <w:rPr>
                <w:sz w:val="22"/>
                <w:szCs w:val="22"/>
              </w:rPr>
              <w:t>Sustainability index of development</w:t>
            </w:r>
          </w:p>
        </w:tc>
        <w:tc>
          <w:tcPr>
            <w:tcW w:w="1276" w:type="dxa"/>
            <w:tcBorders>
              <w:left w:val="single" w:color="FFFFFF" w:sz="4" w:space="0"/>
            </w:tcBorders>
          </w:tcPr>
          <w:p w14:paraId="72C92799">
            <w:pPr>
              <w:spacing w:before="93" w:beforeLines="30" w:after="93" w:afterLines="30" w:line="240" w:lineRule="exact"/>
              <w:ind w:firstLine="440"/>
              <w:jc w:val="center"/>
              <w:rPr>
                <w:sz w:val="22"/>
                <w:szCs w:val="22"/>
              </w:rPr>
            </w:pPr>
            <w:r>
              <w:rPr>
                <w:sz w:val="22"/>
                <w:szCs w:val="22"/>
              </w:rPr>
              <w:t>J</w:t>
            </w:r>
          </w:p>
        </w:tc>
      </w:tr>
      <w:tr w14:paraId="3033313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1043" w:type="dxa"/>
            <w:tcBorders>
              <w:right w:val="single" w:color="000000" w:sz="6" w:space="0"/>
            </w:tcBorders>
          </w:tcPr>
          <w:p w14:paraId="07FDFEBD">
            <w:pPr>
              <w:spacing w:before="93" w:beforeLines="30" w:after="93" w:afterLines="30" w:line="240" w:lineRule="exact"/>
              <w:ind w:firstLine="442"/>
              <w:jc w:val="center"/>
              <w:rPr>
                <w:b/>
                <w:bCs/>
                <w:sz w:val="22"/>
                <w:szCs w:val="22"/>
              </w:rPr>
            </w:pPr>
            <w:r>
              <w:rPr>
                <w:b/>
                <w:bCs/>
                <w:sz w:val="22"/>
                <w:szCs w:val="22"/>
              </w:rPr>
              <w:t>A</w:t>
            </w:r>
          </w:p>
        </w:tc>
        <w:tc>
          <w:tcPr>
            <w:tcW w:w="5798" w:type="dxa"/>
            <w:tcBorders>
              <w:right w:val="single" w:color="FFFFFF" w:sz="4" w:space="0"/>
            </w:tcBorders>
          </w:tcPr>
          <w:p w14:paraId="36224146">
            <w:pPr>
              <w:spacing w:before="93" w:beforeLines="30" w:after="93" w:afterLines="30" w:line="240" w:lineRule="exact"/>
              <w:ind w:firstLine="440"/>
              <w:jc w:val="center"/>
              <w:rPr>
                <w:sz w:val="22"/>
                <w:szCs w:val="22"/>
              </w:rPr>
            </w:pPr>
            <w:r>
              <w:rPr>
                <w:sz w:val="22"/>
                <w:szCs w:val="22"/>
              </w:rPr>
              <w:t>Economic index of development</w:t>
            </w:r>
          </w:p>
        </w:tc>
        <w:tc>
          <w:tcPr>
            <w:tcW w:w="1276" w:type="dxa"/>
            <w:tcBorders>
              <w:left w:val="single" w:color="FFFFFF" w:sz="4" w:space="0"/>
            </w:tcBorders>
          </w:tcPr>
          <w:p w14:paraId="5B2EDF23">
            <w:pPr>
              <w:spacing w:before="93" w:beforeLines="30" w:after="93" w:afterLines="30" w:line="240" w:lineRule="exact"/>
              <w:ind w:firstLine="440"/>
              <w:jc w:val="center"/>
              <w:rPr>
                <w:sz w:val="22"/>
                <w:szCs w:val="22"/>
              </w:rPr>
            </w:pPr>
            <w:r>
              <w:rPr>
                <w:sz w:val="22"/>
                <w:szCs w:val="22"/>
              </w:rPr>
              <w:t>J</w:t>
            </w:r>
          </w:p>
        </w:tc>
      </w:tr>
      <w:tr w14:paraId="0E77114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043" w:type="dxa"/>
            <w:tcBorders>
              <w:right w:val="single" w:color="000000" w:sz="6" w:space="0"/>
            </w:tcBorders>
          </w:tcPr>
          <w:p w14:paraId="36F3A2E2">
            <w:pPr>
              <w:spacing w:before="93" w:beforeLines="30" w:after="93" w:afterLines="30" w:line="240" w:lineRule="exact"/>
              <w:ind w:firstLine="442"/>
              <w:jc w:val="center"/>
              <w:rPr>
                <w:b/>
                <w:bCs/>
                <w:sz w:val="22"/>
                <w:szCs w:val="22"/>
              </w:rPr>
            </w:pPr>
            <w:r>
              <w:rPr>
                <w:b/>
                <w:bCs/>
                <w:sz w:val="22"/>
                <w:szCs w:val="22"/>
              </w:rPr>
              <w:t>B</w:t>
            </w:r>
          </w:p>
        </w:tc>
        <w:tc>
          <w:tcPr>
            <w:tcW w:w="5798" w:type="dxa"/>
            <w:tcBorders>
              <w:right w:val="single" w:color="FFFFFF" w:sz="4" w:space="0"/>
            </w:tcBorders>
          </w:tcPr>
          <w:p w14:paraId="3BBC8FC5">
            <w:pPr>
              <w:spacing w:before="93" w:beforeLines="30" w:after="93" w:afterLines="30" w:line="240" w:lineRule="exact"/>
              <w:ind w:firstLine="440"/>
              <w:jc w:val="center"/>
              <w:rPr>
                <w:sz w:val="22"/>
                <w:szCs w:val="22"/>
              </w:rPr>
            </w:pPr>
            <w:r>
              <w:rPr>
                <w:sz w:val="22"/>
                <w:szCs w:val="22"/>
              </w:rPr>
              <w:t>Social index of  development</w:t>
            </w:r>
          </w:p>
        </w:tc>
        <w:tc>
          <w:tcPr>
            <w:tcW w:w="1276" w:type="dxa"/>
            <w:tcBorders>
              <w:left w:val="single" w:color="FFFFFF" w:sz="4" w:space="0"/>
            </w:tcBorders>
          </w:tcPr>
          <w:p w14:paraId="4BE43FF9">
            <w:pPr>
              <w:spacing w:before="93" w:beforeLines="30" w:after="93" w:afterLines="30" w:line="240" w:lineRule="exact"/>
              <w:ind w:firstLine="440"/>
              <w:jc w:val="center"/>
              <w:rPr>
                <w:sz w:val="22"/>
                <w:szCs w:val="22"/>
              </w:rPr>
            </w:pPr>
            <w:r>
              <w:rPr>
                <w:sz w:val="22"/>
                <w:szCs w:val="22"/>
              </w:rPr>
              <w:t>K</w:t>
            </w:r>
          </w:p>
        </w:tc>
      </w:tr>
      <w:tr w14:paraId="24AC544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1043" w:type="dxa"/>
            <w:tcBorders>
              <w:right w:val="single" w:color="000000" w:sz="6" w:space="0"/>
            </w:tcBorders>
          </w:tcPr>
          <w:p w14:paraId="08DE476E">
            <w:pPr>
              <w:spacing w:before="93" w:beforeLines="30" w:after="93" w:afterLines="30" w:line="240" w:lineRule="exact"/>
              <w:ind w:firstLine="442"/>
              <w:jc w:val="center"/>
              <w:rPr>
                <w:b/>
                <w:bCs/>
                <w:sz w:val="22"/>
                <w:szCs w:val="22"/>
              </w:rPr>
            </w:pPr>
            <w:r>
              <w:rPr>
                <w:b/>
                <w:bCs/>
                <w:sz w:val="22"/>
                <w:szCs w:val="22"/>
              </w:rPr>
              <w:t>C</w:t>
            </w:r>
          </w:p>
        </w:tc>
        <w:tc>
          <w:tcPr>
            <w:tcW w:w="5798" w:type="dxa"/>
            <w:tcBorders>
              <w:right w:val="single" w:color="FFFFFF" w:sz="4" w:space="0"/>
            </w:tcBorders>
          </w:tcPr>
          <w:p w14:paraId="526705C0">
            <w:pPr>
              <w:spacing w:before="93" w:beforeLines="30" w:after="93" w:afterLines="30" w:line="240" w:lineRule="exact"/>
              <w:ind w:firstLine="440"/>
              <w:jc w:val="center"/>
              <w:rPr>
                <w:sz w:val="22"/>
                <w:szCs w:val="22"/>
              </w:rPr>
            </w:pPr>
            <w:r>
              <w:rPr>
                <w:sz w:val="22"/>
                <w:szCs w:val="22"/>
              </w:rPr>
              <w:t>Environment index of development</w:t>
            </w:r>
          </w:p>
        </w:tc>
        <w:tc>
          <w:tcPr>
            <w:tcW w:w="1276" w:type="dxa"/>
            <w:tcBorders>
              <w:left w:val="single" w:color="FFFFFF" w:sz="4" w:space="0"/>
            </w:tcBorders>
          </w:tcPr>
          <w:p w14:paraId="555478D5">
            <w:pPr>
              <w:spacing w:before="93" w:beforeLines="30" w:after="93" w:afterLines="30" w:line="240" w:lineRule="exact"/>
              <w:ind w:firstLine="440"/>
              <w:jc w:val="center"/>
              <w:rPr>
                <w:sz w:val="22"/>
                <w:szCs w:val="22"/>
              </w:rPr>
            </w:pPr>
            <w:r>
              <w:rPr>
                <w:sz w:val="22"/>
                <w:szCs w:val="22"/>
              </w:rPr>
              <w:t>K</w:t>
            </w:r>
          </w:p>
        </w:tc>
      </w:tr>
      <w:tr w14:paraId="58C9EB8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043" w:type="dxa"/>
            <w:tcBorders>
              <w:right w:val="single" w:color="000000" w:sz="6" w:space="0"/>
            </w:tcBorders>
          </w:tcPr>
          <w:p w14:paraId="022AEE69">
            <w:pPr>
              <w:spacing w:before="93" w:beforeLines="30" w:after="93" w:afterLines="30" w:line="240" w:lineRule="exact"/>
              <w:ind w:firstLine="442"/>
              <w:jc w:val="center"/>
              <w:rPr>
                <w:b/>
                <w:bCs/>
                <w:sz w:val="22"/>
                <w:szCs w:val="22"/>
              </w:rPr>
            </w:pPr>
            <w:r>
              <w:rPr>
                <w:b/>
                <w:bCs/>
                <w:sz w:val="22"/>
                <w:szCs w:val="22"/>
              </w:rPr>
              <w:t>F</w:t>
            </w:r>
          </w:p>
        </w:tc>
        <w:tc>
          <w:tcPr>
            <w:tcW w:w="5798" w:type="dxa"/>
            <w:tcBorders>
              <w:right w:val="single" w:color="FFFFFF" w:sz="4" w:space="0"/>
            </w:tcBorders>
          </w:tcPr>
          <w:p w14:paraId="4408DCDB">
            <w:pPr>
              <w:spacing w:before="93" w:beforeLines="30" w:after="93" w:afterLines="30" w:line="240" w:lineRule="exact"/>
              <w:ind w:firstLine="440"/>
              <w:jc w:val="center"/>
              <w:rPr>
                <w:sz w:val="22"/>
                <w:szCs w:val="22"/>
              </w:rPr>
            </w:pPr>
            <w:r>
              <w:rPr>
                <w:sz w:val="22"/>
                <w:szCs w:val="22"/>
              </w:rPr>
              <w:t>Impact index value</w:t>
            </w:r>
          </w:p>
        </w:tc>
        <w:tc>
          <w:tcPr>
            <w:tcW w:w="1276" w:type="dxa"/>
            <w:tcBorders>
              <w:left w:val="single" w:color="FFFFFF" w:sz="4" w:space="0"/>
            </w:tcBorders>
          </w:tcPr>
          <w:p w14:paraId="230D8592">
            <w:pPr>
              <w:spacing w:before="93" w:beforeLines="30" w:after="93" w:afterLines="30" w:line="240" w:lineRule="exact"/>
              <w:ind w:firstLine="440"/>
              <w:jc w:val="center"/>
              <w:rPr>
                <w:sz w:val="22"/>
                <w:szCs w:val="22"/>
                <w:vertAlign w:val="superscript"/>
              </w:rPr>
            </w:pPr>
            <w:r>
              <w:rPr>
                <w:sz w:val="22"/>
                <w:szCs w:val="22"/>
              </w:rPr>
              <w:t>km</w:t>
            </w:r>
            <w:r>
              <w:rPr>
                <w:sz w:val="22"/>
                <w:szCs w:val="22"/>
                <w:vertAlign w:val="superscript"/>
              </w:rPr>
              <w:t>3</w:t>
            </w:r>
          </w:p>
        </w:tc>
      </w:tr>
      <w:tr w14:paraId="3D4418F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043" w:type="dxa"/>
            <w:tcBorders>
              <w:right w:val="single" w:color="000000" w:sz="6" w:space="0"/>
            </w:tcBorders>
          </w:tcPr>
          <w:p w14:paraId="555CC047">
            <w:pPr>
              <w:spacing w:before="93" w:beforeLines="30" w:after="93" w:afterLines="30" w:line="240" w:lineRule="exact"/>
              <w:ind w:firstLine="442"/>
              <w:jc w:val="center"/>
              <w:rPr>
                <w:b/>
                <w:bCs/>
                <w:sz w:val="22"/>
                <w:szCs w:val="22"/>
              </w:rPr>
            </w:pPr>
            <w:r>
              <w:rPr>
                <w:b/>
                <w:bCs/>
                <w:sz w:val="22"/>
                <w:szCs w:val="22"/>
              </w:rPr>
              <w:t>S</w:t>
            </w:r>
          </w:p>
        </w:tc>
        <w:tc>
          <w:tcPr>
            <w:tcW w:w="5798" w:type="dxa"/>
            <w:tcBorders>
              <w:right w:val="single" w:color="FFFFFF" w:sz="4" w:space="0"/>
            </w:tcBorders>
          </w:tcPr>
          <w:p w14:paraId="62494CC4">
            <w:pPr>
              <w:spacing w:before="93" w:beforeLines="30" w:after="93" w:afterLines="30" w:line="240" w:lineRule="exact"/>
              <w:ind w:firstLine="440"/>
              <w:jc w:val="center"/>
              <w:rPr>
                <w:sz w:val="22"/>
                <w:szCs w:val="22"/>
              </w:rPr>
            </w:pPr>
            <w:r>
              <w:rPr>
                <w:sz w:val="22"/>
                <w:szCs w:val="22"/>
              </w:rPr>
              <w:t>Reality index value</w:t>
            </w:r>
          </w:p>
        </w:tc>
        <w:tc>
          <w:tcPr>
            <w:tcW w:w="1276" w:type="dxa"/>
            <w:tcBorders>
              <w:left w:val="single" w:color="FFFFFF" w:sz="4" w:space="0"/>
            </w:tcBorders>
          </w:tcPr>
          <w:p w14:paraId="3112E767">
            <w:pPr>
              <w:spacing w:before="93" w:beforeLines="30" w:after="93" w:afterLines="30" w:line="240" w:lineRule="exact"/>
              <w:ind w:firstLine="440"/>
              <w:jc w:val="center"/>
              <w:rPr>
                <w:sz w:val="22"/>
                <w:szCs w:val="22"/>
              </w:rPr>
            </w:pPr>
            <w:r>
              <w:rPr>
                <w:sz w:val="22"/>
                <w:szCs w:val="22"/>
              </w:rPr>
              <w:t>m</w:t>
            </w:r>
          </w:p>
        </w:tc>
      </w:tr>
      <w:tr w14:paraId="029A2C2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3" w:type="dxa"/>
            <w:tcBorders>
              <w:right w:val="single" w:color="000000" w:sz="6" w:space="0"/>
            </w:tcBorders>
          </w:tcPr>
          <w:p w14:paraId="787F48B8">
            <w:pPr>
              <w:spacing w:before="93" w:beforeLines="30" w:after="93" w:afterLines="30" w:line="240" w:lineRule="exact"/>
              <w:ind w:firstLine="442"/>
              <w:jc w:val="center"/>
              <w:rPr>
                <w:b/>
                <w:bCs/>
                <w:sz w:val="22"/>
                <w:szCs w:val="22"/>
              </w:rPr>
            </w:pPr>
            <w:r>
              <w:rPr>
                <w:b/>
                <w:bCs/>
                <w:sz w:val="22"/>
                <w:szCs w:val="22"/>
              </w:rPr>
              <w:t xml:space="preserve"> </w:t>
            </w:r>
            <m:oMath>
              <m:r>
                <m:rPr>
                  <m:sty m:val="b"/>
                </m:rPr>
                <w:rPr>
                  <w:rFonts w:ascii="Cambria Math" w:hAnsi="Cambria Math"/>
                  <w:color w:val="000000"/>
                  <w:sz w:val="22"/>
                  <w:szCs w:val="22"/>
                </w:rPr>
                <m:t>β</m:t>
              </m:r>
            </m:oMath>
          </w:p>
        </w:tc>
        <w:tc>
          <w:tcPr>
            <w:tcW w:w="5798" w:type="dxa"/>
            <w:tcBorders>
              <w:right w:val="single" w:color="FFFFFF" w:sz="4" w:space="0"/>
            </w:tcBorders>
          </w:tcPr>
          <w:p w14:paraId="4615BE7E">
            <w:pPr>
              <w:spacing w:before="93" w:beforeLines="30" w:after="93" w:afterLines="30" w:line="240" w:lineRule="exact"/>
              <w:ind w:firstLine="440"/>
              <w:jc w:val="center"/>
              <w:rPr>
                <w:sz w:val="22"/>
                <w:szCs w:val="22"/>
              </w:rPr>
            </w:pPr>
            <w:r>
              <w:rPr>
                <w:sz w:val="22"/>
                <w:szCs w:val="22"/>
              </w:rPr>
              <w:t>Influence coefficient</w:t>
            </w:r>
          </w:p>
        </w:tc>
        <w:tc>
          <w:tcPr>
            <w:tcW w:w="1276" w:type="dxa"/>
            <w:tcBorders>
              <w:left w:val="single" w:color="FFFFFF" w:sz="4" w:space="0"/>
            </w:tcBorders>
          </w:tcPr>
          <w:p w14:paraId="4B39C728">
            <w:pPr>
              <w:spacing w:before="93" w:beforeLines="30" w:after="93" w:afterLines="30" w:line="240" w:lineRule="exact"/>
              <w:ind w:firstLine="440"/>
              <w:jc w:val="center"/>
              <w:rPr>
                <w:sz w:val="22"/>
                <w:szCs w:val="22"/>
              </w:rPr>
            </w:pPr>
            <w:r>
              <w:rPr>
                <w:sz w:val="22"/>
                <w:szCs w:val="22"/>
              </w:rPr>
              <w:t>m</w:t>
            </w:r>
            <w:r>
              <w:rPr>
                <w:sz w:val="22"/>
                <w:szCs w:val="22"/>
                <w:vertAlign w:val="superscript"/>
              </w:rPr>
              <w:t>2</w:t>
            </w:r>
          </w:p>
        </w:tc>
      </w:tr>
    </w:tbl>
    <w:p w14:paraId="6F9C160D">
      <w:pPr>
        <w:pStyle w:val="2"/>
        <w:spacing w:before="312" w:beforeLines="100" w:after="312" w:afterLines="100" w:line="360" w:lineRule="auto"/>
        <w:ind w:firstLine="643"/>
      </w:pPr>
      <w:bookmarkStart w:id="24" w:name="_Toc471658490"/>
      <w:r>
        <w:t>V. Models</w:t>
      </w:r>
      <w:bookmarkEnd w:id="24"/>
    </w:p>
    <w:p w14:paraId="5206DAAC">
      <w:pPr>
        <w:pStyle w:val="31"/>
        <w:keepNext/>
        <w:keepLines/>
        <w:numPr>
          <w:ilvl w:val="0"/>
          <w:numId w:val="1"/>
        </w:numPr>
        <w:spacing w:before="380" w:after="380" w:line="416" w:lineRule="auto"/>
        <w:ind w:firstLineChars="0"/>
        <w:jc w:val="left"/>
        <w:outlineLvl w:val="1"/>
        <w:rPr>
          <w:rFonts w:eastAsia="Times New Roman"/>
          <w:b/>
          <w:bCs/>
          <w:vanish/>
          <w:sz w:val="28"/>
          <w:szCs w:val="32"/>
        </w:rPr>
      </w:pPr>
      <w:bookmarkStart w:id="25" w:name="_Toc471658491"/>
    </w:p>
    <w:bookmarkEnd w:id="25"/>
    <w:p w14:paraId="7334066D">
      <w:pPr>
        <w:pStyle w:val="3"/>
        <w:ind w:firstLine="562"/>
        <w:rPr>
          <w:rFonts w:hint="eastAsia"/>
        </w:rPr>
      </w:pPr>
      <w:r>
        <w:rPr>
          <w:rFonts w:hint="eastAsia" w:eastAsia="宋体"/>
        </w:rPr>
        <w:t>问题</w:t>
      </w:r>
      <w:r>
        <w:rPr>
          <w:rFonts w:ascii="Georgia" w:hAnsi="Georgia" w:eastAsia="Georgia" w:cs="Georgia"/>
        </w:rPr>
        <w:t>1</w:t>
      </w:r>
      <w:r>
        <w:rPr>
          <w:rFonts w:hint="eastAsia" w:eastAsia="宋体"/>
        </w:rPr>
        <w:t>：各国奖牌数预测模型</w:t>
      </w:r>
    </w:p>
    <w:p w14:paraId="2DE78261">
      <w:pPr>
        <w:ind w:firstLine="480"/>
        <w:rPr>
          <w:rFonts w:hint="eastAsia"/>
        </w:rPr>
      </w:pPr>
      <w:r>
        <w:rPr>
          <w:rFonts w:hint="eastAsia"/>
        </w:rPr>
        <w:t>为了有效预测各国在</w:t>
      </w:r>
      <w:r>
        <w:rPr>
          <w:rFonts w:ascii="Georgia" w:hAnsi="Georgia" w:eastAsia="Georgia" w:cs="Georgia"/>
        </w:rPr>
        <w:t>2028</w:t>
      </w:r>
      <w:r>
        <w:rPr>
          <w:rFonts w:hint="eastAsia"/>
        </w:rPr>
        <w:t>年洛杉矶夏季奥运会中的金牌数和总奖牌数，我们构建了一个综合性的数学模型。该模型不仅考虑了历史奖牌数据、经济与人口指标，还纳入了赛事项目的数量和类型等因素。此外，模型还对尚未获得奖牌的国家进行了首次获奖牌概率的预测。以下将详细阐述模型的构建过程、数学表达式及其与题目背景的关联。</w:t>
      </w:r>
    </w:p>
    <w:p w14:paraId="2581839B">
      <w:pPr>
        <w:pStyle w:val="12"/>
        <w:ind w:firstLine="482"/>
        <w:rPr>
          <w:rFonts w:hint="eastAsia"/>
        </w:rPr>
      </w:pPr>
      <w:r>
        <w:rPr>
          <w:rFonts w:hint="eastAsia" w:ascii="宋体" w:hAnsi="宋体" w:eastAsia="宋体" w:cs="宋体"/>
        </w:rPr>
        <w:t>5.1.1奖牌数预测模型的总体框架</w:t>
      </w:r>
    </w:p>
    <w:p w14:paraId="74A285E8">
      <w:pPr>
        <w:spacing w:after="240"/>
        <w:ind w:firstLine="480"/>
        <w:rPr>
          <w:rFonts w:hint="eastAsia"/>
        </w:rPr>
      </w:pPr>
      <w:r>
        <w:rPr>
          <w:rFonts w:hint="eastAsia" w:ascii="宋体" w:hAnsi="宋体" w:cs="宋体"/>
        </w:rPr>
        <w:t>为了预测每个国家在特定届奥运会中的奖牌数，我们采用了</w:t>
      </w:r>
      <w:r>
        <w:rPr>
          <w:bCs/>
        </w:rPr>
        <w:t>多层次负二项回归模型</w:t>
      </w:r>
      <w:r>
        <w:rPr>
          <w:rFonts w:hint="eastAsia" w:ascii="宋体" w:hAnsi="宋体" w:cs="宋体"/>
        </w:rPr>
        <w:t>。该模型适用于计数型数据（如奖牌数），并能有效处理数据中的过度分散现象（即方差大于均值）。此外，通过引入国家和届次的随机效应，模型能够捕捉到国家间及不同届次之间的异质性。</w:t>
      </w:r>
    </w:p>
    <w:p w14:paraId="19F802C1">
      <w:pPr>
        <w:ind w:firstLine="482"/>
        <w:rPr>
          <w:rFonts w:hint="eastAsia"/>
          <w:b/>
          <w:bCs/>
        </w:rPr>
      </w:pPr>
      <w:r>
        <w:rPr>
          <w:rFonts w:hint="eastAsia"/>
          <w:b/>
          <w:bCs/>
        </w:rPr>
        <w:t>（1）</w:t>
      </w:r>
      <w:r>
        <w:rPr>
          <w:b/>
          <w:bCs/>
        </w:rPr>
        <w:t>响应变量与分布假设</w:t>
      </w:r>
    </w:p>
    <w:p w14:paraId="5A8E6820">
      <w:pPr>
        <w:spacing w:after="240"/>
        <w:ind w:firstLine="480"/>
        <w:rPr>
          <w:rFonts w:hint="eastAsia"/>
        </w:rPr>
      </w:pPr>
      <w:r>
        <w:rPr>
          <w:rFonts w:hint="eastAsia" w:ascii="宋体" w:hAnsi="宋体" w:cs="宋体"/>
        </w:rPr>
        <w:t>首先，设</w:t>
      </w:r>
      <m:oMath>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oMath>
      <w:r>
        <w:rPr>
          <w:rFonts w:hint="eastAsia" w:ascii="宋体" w:hAnsi="宋体" w:cs="宋体"/>
        </w:rPr>
        <w:t>表示国家</w:t>
      </w:r>
      <m:oMath>
        <m:r>
          <m:rPr/>
          <w:rPr>
            <w:rFonts w:ascii="Cambria Math" w:hAnsi="Cambria Math"/>
          </w:rPr>
          <m:t>c</m:t>
        </m:r>
      </m:oMath>
      <w:r>
        <w:rPr>
          <w:rFonts w:hint="eastAsia" w:ascii="宋体" w:hAnsi="宋体" w:cs="宋体"/>
        </w:rPr>
        <w:t>在第</w:t>
      </w:r>
      <m:oMath>
        <m:r>
          <m:rPr/>
          <w:rPr>
            <w:rFonts w:ascii="Cambria Math" w:hAnsi="Cambria Math"/>
          </w:rPr>
          <m:t>t</m:t>
        </m:r>
      </m:oMath>
      <w:r>
        <w:rPr>
          <w:rFonts w:hint="eastAsia" w:ascii="宋体" w:hAnsi="宋体" w:cs="宋体"/>
        </w:rPr>
        <w:t>届夏季奥运会中获得的金牌数，</w:t>
      </w:r>
      <m:oMath>
        <m:r>
          <m:rPr/>
          <w:rPr>
            <w:rFonts w:ascii="Cambria Math" w:hAnsi="Cambria Math"/>
          </w:rPr>
          <m:t>c</m:t>
        </m:r>
        <m:r>
          <m:rPr>
            <m:sty m:val="p"/>
          </m:rPr>
          <w:rPr>
            <w:rFonts w:ascii="Cambria Math" w:hAnsi="Cambria Math"/>
          </w:rPr>
          <m:t>=1,2,…,</m:t>
        </m:r>
        <m:r>
          <m:rPr/>
          <w:rPr>
            <w:rFonts w:ascii="Cambria Math" w:hAnsi="Cambria Math"/>
          </w:rPr>
          <m:t>C</m:t>
        </m:r>
      </m:oMath>
      <w:r>
        <w:rPr>
          <w:rFonts w:hint="eastAsia" w:ascii="宋体" w:hAnsi="宋体" w:cs="宋体"/>
        </w:rPr>
        <w:t>，</w:t>
      </w:r>
      <m:oMath>
        <m:r>
          <m:rPr/>
          <w:rPr>
            <w:rFonts w:ascii="Cambria Math" w:hAnsi="Cambria Math"/>
          </w:rPr>
          <m:t>t</m:t>
        </m:r>
        <m:r>
          <m:rPr>
            <m:sty m:val="p"/>
          </m:rPr>
          <w:rPr>
            <w:rFonts w:ascii="Cambria Math" w:hAnsi="Cambria Math"/>
          </w:rPr>
          <m:t>=1,2,…,</m:t>
        </m:r>
        <m:r>
          <m:rPr/>
          <w:rPr>
            <w:rFonts w:ascii="Cambria Math" w:hAnsi="Cambria Math"/>
          </w:rPr>
          <m:t>T</m:t>
        </m:r>
      </m:oMath>
      <w:r>
        <w:rPr>
          <w:rFonts w:hint="eastAsia" w:ascii="宋体" w:hAnsi="宋体" w:cs="宋体"/>
        </w:rPr>
        <w:t>。由于金牌数是非负整数型的计数数据，且通常存在过度分散（</w:t>
      </w:r>
      <m:oMath>
        <m:r>
          <m:rPr>
            <m:sty m:val="p"/>
          </m:rPr>
          <w:rPr>
            <w:rFonts w:ascii="Cambria Math" w:hAnsi="Cambria Math"/>
          </w:rPr>
          <m:t>Var[</m:t>
        </m:r>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]&gt;E[</m:t>
        </m:r>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oMath>
      <w:r>
        <w:rPr>
          <w:rFonts w:hint="eastAsia" w:ascii="宋体" w:hAnsi="宋体" w:cs="宋体"/>
        </w:rPr>
        <w:t>），我们假设</w:t>
      </w:r>
    </w:p>
    <w:p w14:paraId="243D6E71">
      <w:pPr>
        <w:pStyle w:val="36"/>
        <w:rPr>
          <w:rFonts w:hint="eastAsia"/>
        </w:rPr>
      </w:pPr>
      <m:oMathPara>
        <m:oMath>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m:nor/>
              <m:sty m:val="p"/>
            </m:rPr>
            <m:t>NegBin</m:t>
          </m:r>
          <m:r>
            <m:rPr>
              <m:sty m:val="p"/>
            </m:rPr>
            <w:rPr>
              <w:rFonts w:ascii="Cambria Math" w:hAnsi="Cambria Math"/>
            </w:rPr>
            <m:t>(</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ϕ</m:t>
          </m:r>
          <m:r>
            <m:rPr>
              <m:sty m:val="p"/>
            </m:rPr>
            <w:rPr>
              <w:rFonts w:ascii="Cambria Math" w:hAnsi="Cambria Math"/>
            </w:rPr>
            <m:t>),</m:t>
          </m:r>
        </m:oMath>
      </m:oMathPara>
    </w:p>
    <w:p w14:paraId="63C29E38">
      <w:pPr>
        <w:spacing w:after="240"/>
        <w:ind w:firstLine="480"/>
        <w:rPr>
          <w:rFonts w:hint="eastAsia"/>
        </w:rPr>
      </w:pPr>
      <w:r>
        <w:rPr>
          <w:rFonts w:hint="eastAsia" w:ascii="宋体" w:hAnsi="宋体" w:cs="宋体"/>
        </w:rPr>
        <w:t>其中，</w:t>
      </w:r>
      <m:oMath>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oMath>
      <w:r>
        <w:rPr>
          <w:rFonts w:hint="eastAsia" w:ascii="宋体" w:hAnsi="宋体" w:cs="宋体"/>
        </w:rPr>
        <w:t>是国家</w:t>
      </w:r>
      <m:oMath>
        <m:r>
          <m:rPr/>
          <w:rPr>
            <w:rFonts w:ascii="Cambria Math" w:hAnsi="Cambria Math"/>
          </w:rPr>
          <m:t>c</m:t>
        </m:r>
      </m:oMath>
      <w:r>
        <w:rPr>
          <w:rFonts w:hint="eastAsia" w:ascii="宋体" w:hAnsi="宋体" w:cs="宋体"/>
        </w:rPr>
        <w:t>在第</w:t>
      </w:r>
      <m:oMath>
        <m:r>
          <m:rPr/>
          <w:rPr>
            <w:rFonts w:ascii="Cambria Math" w:hAnsi="Cambria Math"/>
          </w:rPr>
          <m:t>t</m:t>
        </m:r>
      </m:oMath>
      <w:r>
        <w:rPr>
          <w:rFonts w:hint="eastAsia" w:ascii="宋体" w:hAnsi="宋体" w:cs="宋体"/>
        </w:rPr>
        <w:t>届奥运会中的期望金牌数，</w:t>
      </w:r>
      <m:oMath>
        <m:r>
          <m:rPr/>
          <w:rPr>
            <w:rFonts w:ascii="Cambria Math" w:hAnsi="Cambria Math"/>
          </w:rPr>
          <m:t>ϕ</m:t>
        </m:r>
      </m:oMath>
      <w:r>
        <w:rPr>
          <w:rFonts w:hint="eastAsia" w:ascii="宋体" w:hAnsi="宋体" w:cs="宋体"/>
        </w:rPr>
        <w:t>是过度分散参数，用于调整负二项分布相对于泊松分布的扩散程度。负二项分布的概率质量函数为</w:t>
      </w:r>
    </w:p>
    <w:p w14:paraId="3C3CBAE3">
      <w:pPr>
        <w:pStyle w:val="36"/>
        <w:rPr>
          <w:rFonts w:hint="eastAsia"/>
        </w:rPr>
      </w:pPr>
      <m:oMathPara>
        <m:oMath>
          <m:r>
            <m:rPr/>
            <w:rPr>
              <w:rFonts w:ascii="Cambria Math" w:hAnsi="Cambria Math"/>
            </w:rPr>
            <m:t>P</m:t>
          </m:r>
          <m:r>
            <m:rPr>
              <m:sty m:val="p"/>
            </m:rPr>
            <w:rPr>
              <w:rFonts w:ascii="Cambria Math" w:hAnsi="Cambria Math"/>
            </w:rPr>
            <m:t>(</m:t>
          </m:r>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g</m:t>
          </m:r>
          <m:r>
            <m:rPr>
              <m:sty m:val="p"/>
            </m:rPr>
            <w:rPr>
              <w:rFonts w:ascii="Cambria Math" w:hAnsi="Cambria Math"/>
            </w:rPr>
            <m:t>)=</m:t>
          </m:r>
          <m:d>
            <m:dPr>
              <m:ctrlPr>
                <w:rPr>
                  <w:rFonts w:ascii="Cambria Math" w:hAnsi="Cambria Math"/>
                </w:rPr>
              </m:ctrlPr>
            </m:dPr>
            <m:e>
              <m:f>
                <m:fPr>
                  <m:type m:val="nobar"/>
                  <m:ctrlPr>
                    <w:rPr>
                      <w:rFonts w:ascii="Cambria Math" w:hAnsi="Cambria Math"/>
                    </w:rPr>
                  </m:ctrlPr>
                </m:fPr>
                <m:num>
                  <m:r>
                    <m:rPr/>
                    <w:rPr>
                      <w:rFonts w:ascii="Cambria Math" w:hAnsi="Cambria Math"/>
                    </w:rPr>
                    <m:t>g</m:t>
                  </m:r>
                  <m:r>
                    <m:rPr>
                      <m:sty m:val="p"/>
                    </m:rPr>
                    <w:rPr>
                      <w:rFonts w:ascii="Cambria Math" w:hAnsi="Cambria Math"/>
                    </w:rPr>
                    <m:t>+</m:t>
                  </m:r>
                  <m:r>
                    <m:rPr/>
                    <w:rPr>
                      <w:rFonts w:ascii="Cambria Math" w:hAnsi="Cambria Math"/>
                    </w:rPr>
                    <m:t>ϕ</m:t>
                  </m:r>
                  <m:r>
                    <m:rPr>
                      <m:sty m:val="p"/>
                    </m:rPr>
                    <w:rPr>
                      <w:rFonts w:ascii="Cambria Math" w:hAnsi="Cambria Math"/>
                    </w:rPr>
                    <m:t>−1</m:t>
                  </m:r>
                  <m:ctrlPr>
                    <w:rPr>
                      <w:rFonts w:ascii="Cambria Math" w:hAnsi="Cambria Math"/>
                    </w:rPr>
                  </m:ctrlPr>
                </m:num>
                <m:den>
                  <m:r>
                    <m:rPr/>
                    <w:rPr>
                      <w:rFonts w:ascii="Cambria Math" w:hAnsi="Cambria Math"/>
                    </w:rPr>
                    <m:t>g</m:t>
                  </m:r>
                  <m:ctrlPr>
                    <w:rPr>
                      <w:rFonts w:ascii="Cambria Math" w:hAnsi="Cambria Math"/>
                    </w:rPr>
                  </m:ctrlPr>
                </m:den>
              </m:f>
              <m:ctrlPr>
                <w:rPr>
                  <w:rFonts w:ascii="Cambria Math" w:hAnsi="Cambria Math"/>
                </w:rPr>
              </m:ctrlPr>
            </m:e>
          </m:d>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w:rPr>
                          <w:rFonts w:ascii="Cambria Math" w:hAnsi="Cambria Math"/>
                        </w:rPr>
                        <m:t>ϕ</m:t>
                      </m:r>
                      <m:ctrlPr>
                        <w:rPr>
                          <w:rFonts w:ascii="Cambria Math" w:hAnsi="Cambria Math"/>
                        </w:rPr>
                      </m:ctrlPr>
                    </m:num>
                    <m:den>
                      <m:r>
                        <m:rPr/>
                        <w:rPr>
                          <w:rFonts w:ascii="Cambria Math" w:hAnsi="Cambria Math"/>
                        </w:rPr>
                        <m:t>ϕ</m:t>
                      </m:r>
                      <m:r>
                        <m:rPr>
                          <m:sty m:val="p"/>
                        </m:rPr>
                        <w:rPr>
                          <w:rFonts w:ascii="Cambria Math" w:hAnsi="Cambria Math"/>
                        </w:rPr>
                        <m:t>+</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ctrlPr>
                        <w:rPr>
                          <w:rFonts w:ascii="Cambria Math" w:hAnsi="Cambria Math"/>
                        </w:rPr>
                      </m:ctrlPr>
                    </m:den>
                  </m:f>
                  <m:ctrlPr>
                    <w:rPr>
                      <w:rFonts w:ascii="Cambria Math" w:hAnsi="Cambria Math"/>
                    </w:rPr>
                  </m:ctrlPr>
                </m:e>
              </m:d>
              <m:ctrlPr>
                <w:rPr>
                  <w:rFonts w:ascii="Cambria Math" w:hAnsi="Cambria Math"/>
                </w:rPr>
              </m:ctrlPr>
            </m:e>
            <m:sup>
              <m:r>
                <m:rPr/>
                <w:rPr>
                  <w:rFonts w:ascii="Cambria Math" w:hAnsi="Cambria Math"/>
                </w:rPr>
                <m:t>ϕ</m:t>
              </m:r>
              <m:ctrlPr>
                <w:rPr>
                  <w:rFonts w:ascii="Cambria Math" w:hAnsi="Cambria Math"/>
                </w:rPr>
              </m:ctrlPr>
            </m:sup>
          </m:sSup>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ctrlPr>
                        <w:rPr>
                          <w:rFonts w:ascii="Cambria Math" w:hAnsi="Cambria Math"/>
                        </w:rPr>
                      </m:ctrlPr>
                    </m:num>
                    <m:den>
                      <m:r>
                        <m:rPr/>
                        <w:rPr>
                          <w:rFonts w:ascii="Cambria Math" w:hAnsi="Cambria Math"/>
                        </w:rPr>
                        <m:t>ϕ</m:t>
                      </m:r>
                      <m:r>
                        <m:rPr>
                          <m:sty m:val="p"/>
                        </m:rPr>
                        <w:rPr>
                          <w:rFonts w:ascii="Cambria Math" w:hAnsi="Cambria Math"/>
                        </w:rPr>
                        <m:t>+</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ctrlPr>
                        <w:rPr>
                          <w:rFonts w:ascii="Cambria Math" w:hAnsi="Cambria Math"/>
                        </w:rPr>
                      </m:ctrlPr>
                    </m:den>
                  </m:f>
                  <m:ctrlPr>
                    <w:rPr>
                      <w:rFonts w:ascii="Cambria Math" w:hAnsi="Cambria Math"/>
                    </w:rPr>
                  </m:ctrlPr>
                </m:e>
              </m:d>
              <m:ctrlPr>
                <w:rPr>
                  <w:rFonts w:ascii="Cambria Math" w:hAnsi="Cambria Math"/>
                </w:rPr>
              </m:ctrlPr>
            </m:e>
            <m:sup>
              <m:r>
                <m:rPr/>
                <w:rPr>
                  <w:rFonts w:ascii="Cambria Math" w:hAnsi="Cambria Math"/>
                </w:rPr>
                <m:t>g</m:t>
              </m:r>
              <m:ctrlPr>
                <w:rPr>
                  <w:rFonts w:ascii="Cambria Math" w:hAnsi="Cambria Math"/>
                </w:rPr>
              </m:ctrlPr>
            </m:sup>
          </m:sSup>
          <m:r>
            <m:rPr>
              <m:sty m:val="p"/>
            </m:rPr>
            <w:rPr>
              <w:rFonts w:ascii="Cambria Math" w:hAnsi="Cambria Math"/>
            </w:rPr>
            <m:t xml:space="preserve">, </m:t>
          </m:r>
          <m:r>
            <m:rPr/>
            <w:rPr>
              <w:rFonts w:ascii="Cambria Math" w:hAnsi="Cambria Math"/>
            </w:rPr>
            <m:t>g</m:t>
          </m:r>
          <m:r>
            <m:rPr>
              <m:sty m:val="p"/>
            </m:rPr>
            <w:rPr>
              <w:rFonts w:ascii="Cambria Math" w:hAnsi="Cambria Math"/>
            </w:rPr>
            <m:t>=0,1,2,…,</m:t>
          </m:r>
        </m:oMath>
      </m:oMathPara>
    </w:p>
    <w:p w14:paraId="00DA6991">
      <w:pPr>
        <w:spacing w:after="240"/>
        <w:ind w:firstLine="480"/>
        <w:rPr>
          <w:rFonts w:hint="eastAsia"/>
        </w:rPr>
      </w:pPr>
      <w:r>
        <w:rPr>
          <w:rFonts w:hint="eastAsia" w:ascii="宋体" w:hAnsi="宋体" w:cs="宋体"/>
        </w:rPr>
        <w:t>这一分布形式能够更好地适应实际数据中金牌数的高变异性。</w:t>
      </w:r>
    </w:p>
    <w:p w14:paraId="56107DA5">
      <w:pPr>
        <w:ind w:firstLine="480"/>
        <w:rPr>
          <w:rFonts w:hint="eastAsia"/>
        </w:rPr>
      </w:pPr>
      <w:r>
        <w:t>符号说明</w:t>
      </w:r>
    </w:p>
    <w:p w14:paraId="703DC0FB">
      <w:pPr>
        <w:ind w:firstLine="480"/>
        <w:rPr>
          <w:rFonts w:hint="eastAsia"/>
        </w:rPr>
      </w:pPr>
      <m:oMath>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oMath>
      <w:r>
        <w:rPr>
          <w:rFonts w:hint="eastAsia" w:ascii="宋体" w:hAnsi="宋体" w:cs="宋体"/>
        </w:rPr>
        <w:t>：国家</w:t>
      </w:r>
      <m:oMath>
        <m:r>
          <m:rPr/>
          <w:rPr>
            <w:rFonts w:ascii="Cambria Math" w:hAnsi="Cambria Math"/>
          </w:rPr>
          <m:t>c</m:t>
        </m:r>
      </m:oMath>
      <w:r>
        <w:rPr>
          <w:rFonts w:hint="eastAsia" w:ascii="宋体" w:hAnsi="宋体" w:cs="宋体"/>
        </w:rPr>
        <w:t>在第</w:t>
      </w:r>
      <m:oMath>
        <m:r>
          <m:rPr/>
          <w:rPr>
            <w:rFonts w:ascii="Cambria Math" w:hAnsi="Cambria Math"/>
          </w:rPr>
          <m:t>t</m:t>
        </m:r>
      </m:oMath>
      <w:r>
        <w:rPr>
          <w:rFonts w:hint="eastAsia" w:ascii="宋体" w:hAnsi="宋体" w:cs="宋体"/>
        </w:rPr>
        <w:t>届奥运会中的金牌数。</w:t>
      </w:r>
      <m:oMath>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oMath>
      <w:r>
        <w:rPr>
          <w:rFonts w:hint="eastAsia" w:ascii="宋体" w:hAnsi="宋体" w:cs="宋体"/>
        </w:rPr>
        <w:t>：国家</w:t>
      </w:r>
      <m:oMath>
        <m:r>
          <m:rPr/>
          <w:rPr>
            <w:rFonts w:ascii="Cambria Math" w:hAnsi="Cambria Math"/>
          </w:rPr>
          <m:t>c</m:t>
        </m:r>
      </m:oMath>
      <w:r>
        <w:rPr>
          <w:rFonts w:hint="eastAsia" w:ascii="宋体" w:hAnsi="宋体" w:cs="宋体"/>
        </w:rPr>
        <w:t>在第</w:t>
      </w:r>
      <m:oMath>
        <m:r>
          <m:rPr/>
          <w:rPr>
            <w:rFonts w:ascii="Cambria Math" w:hAnsi="Cambria Math"/>
          </w:rPr>
          <m:t>t</m:t>
        </m:r>
      </m:oMath>
      <w:r>
        <w:rPr>
          <w:rFonts w:hint="eastAsia" w:ascii="宋体" w:hAnsi="宋体" w:cs="宋体"/>
        </w:rPr>
        <w:t>届奥运会中的期望金牌数。</w:t>
      </w:r>
      <m:oMath>
        <m:r>
          <m:rPr/>
          <w:rPr>
            <w:rFonts w:ascii="Cambria Math" w:hAnsi="Cambria Math"/>
          </w:rPr>
          <m:t>ϕ</m:t>
        </m:r>
      </m:oMath>
      <w:r>
        <w:rPr>
          <w:rFonts w:hint="eastAsia" w:ascii="宋体" w:hAnsi="宋体" w:cs="宋体"/>
        </w:rPr>
        <w:t>：过度分散参数。</w:t>
      </w:r>
      <m:oMath>
        <m:r>
          <m:rPr/>
          <w:rPr>
            <w:rFonts w:ascii="Cambria Math" w:hAnsi="Cambria Math"/>
          </w:rPr>
          <m:t>C</m:t>
        </m:r>
      </m:oMath>
      <w:r>
        <w:rPr>
          <w:rFonts w:hint="eastAsia" w:ascii="宋体" w:hAnsi="宋体" w:cs="宋体"/>
        </w:rPr>
        <w:t>：国家总数。</w:t>
      </w:r>
      <m:oMath>
        <m:r>
          <m:rPr/>
          <w:rPr>
            <w:rFonts w:ascii="Cambria Math" w:hAnsi="Cambria Math"/>
          </w:rPr>
          <m:t>T</m:t>
        </m:r>
      </m:oMath>
      <w:r>
        <w:rPr>
          <w:rFonts w:hint="eastAsia" w:ascii="宋体" w:hAnsi="宋体" w:cs="宋体"/>
        </w:rPr>
        <w:t>：奥运会届数。</w:t>
      </w:r>
    </w:p>
    <w:p w14:paraId="0C21622F">
      <w:pPr>
        <w:ind w:firstLine="482"/>
        <w:rPr>
          <w:rFonts w:hint="eastAsia"/>
          <w:b/>
          <w:bCs/>
        </w:rPr>
      </w:pPr>
      <w:r>
        <w:rPr>
          <w:rFonts w:hint="eastAsia"/>
          <w:b/>
          <w:bCs/>
        </w:rPr>
        <w:t>（2）</w:t>
      </w:r>
      <w:r>
        <w:rPr>
          <w:b/>
          <w:bCs/>
        </w:rPr>
        <w:t>链接函数与线性预测子</w:t>
      </w:r>
    </w:p>
    <w:p w14:paraId="77C0686F">
      <w:pPr>
        <w:ind w:firstLine="480"/>
        <w:rPr>
          <w:rFonts w:hint="eastAsia"/>
        </w:rPr>
      </w:pPr>
      <w:r>
        <w:rPr>
          <w:rFonts w:hint="eastAsia" w:ascii="宋体" w:hAnsi="宋体" w:cs="宋体"/>
        </w:rPr>
        <w:t>为了将线性回归与非负期望值连接起来，我们采用对数链接函数，将期望金牌数的对数建模为自变量的线性组合：</w:t>
      </w:r>
    </w:p>
    <w:p w14:paraId="2B734F7B">
      <w:pPr>
        <w:pStyle w:val="36"/>
        <w:rPr>
          <w:rFonts w:hint="eastAsia"/>
        </w:rPr>
      </w:pPr>
      <m:oMathPara>
        <m:oMath>
          <m:r>
            <m:rPr>
              <m:sty m:val="p"/>
            </m:rPr>
            <w:rPr>
              <w:rFonts w:ascii="Cambria Math" w:hAnsi="Cambria Math"/>
            </w:rPr>
            <m:t>log⁡(</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α</m:t>
          </m:r>
          <m:r>
            <m:rPr>
              <m:sty m:val="p"/>
            </m:rPr>
            <w:rPr>
              <w:rFonts w:ascii="Cambria Math" w:hAnsi="Cambria Math"/>
            </w:rPr>
            <m:t>+</m:t>
          </m:r>
          <m:sSup>
            <m:sSupPr>
              <m:ctrlPr>
                <w:rPr>
                  <w:rFonts w:ascii="Cambria Math" w:hAnsi="Cambria Math"/>
                </w:rPr>
              </m:ctrlPr>
            </m:sSupPr>
            <m:e>
              <m:r>
                <m:rPr/>
                <w:rPr>
                  <w:rFonts w:ascii="Cambria Math" w:hAnsi="Cambria Math"/>
                </w:rPr>
                <m:t>β</m:t>
              </m:r>
              <m:ctrlPr>
                <w:rPr>
                  <w:rFonts w:ascii="Cambria Math" w:hAnsi="Cambria Math"/>
                </w:rPr>
              </m:ctrlPr>
            </m:e>
            <m:sup>
              <m:r>
                <m:rPr>
                  <m:sty m:val="p"/>
                </m:rPr>
                <w:rPr>
                  <w:rFonts w:ascii="Cambria Math" w:hAnsi="Cambria Math"/>
                </w:rPr>
                <m:t>⊤</m:t>
              </m:r>
              <m:ctrlPr>
                <w:rPr>
                  <w:rFonts w:ascii="Cambria Math" w:hAnsi="Cambria Math"/>
                </w:rPr>
              </m:ctrlPr>
            </m:sup>
          </m:sSup>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oMath>
      </m:oMathPara>
    </w:p>
    <w:p w14:paraId="5BC3AA11">
      <w:pPr>
        <w:ind w:firstLine="480"/>
        <w:rPr>
          <w:rFonts w:hint="eastAsia"/>
        </w:rPr>
      </w:pPr>
      <w:r>
        <w:rPr>
          <w:rFonts w:hint="eastAsia" w:ascii="宋体" w:hAnsi="宋体" w:cs="宋体"/>
        </w:rPr>
        <w:t>其中：</w:t>
      </w:r>
      <m:oMath>
        <m:r>
          <m:rPr/>
          <w:rPr>
            <w:rFonts w:ascii="Cambria Math" w:hAnsi="Cambria Math"/>
          </w:rPr>
          <m:t>α</m:t>
        </m:r>
      </m:oMath>
      <w:r>
        <w:rPr>
          <w:rFonts w:ascii="Georgia" w:hAnsi="Georgia" w:eastAsia="Georgia" w:cs="Georgia"/>
        </w:rPr>
        <w:t xml:space="preserve"> </w:t>
      </w:r>
      <w:r>
        <w:rPr>
          <w:rFonts w:hint="eastAsia" w:ascii="宋体" w:hAnsi="宋体" w:cs="宋体"/>
        </w:rPr>
        <w:t>是全局截距，代表基础金牌数。</w:t>
      </w:r>
      <m:oMath>
        <m:r>
          <m:rPr/>
          <w:rPr>
            <w:rFonts w:ascii="Cambria Math" w:hAnsi="Cambria Math"/>
          </w:rPr>
          <m:t>β</m:t>
        </m:r>
      </m:oMath>
      <w:r>
        <w:rPr>
          <w:rFonts w:ascii="Georgia" w:hAnsi="Georgia" w:eastAsia="Georgia" w:cs="Georgia"/>
        </w:rPr>
        <w:t xml:space="preserve"> </w:t>
      </w:r>
      <w:r>
        <w:rPr>
          <w:rFonts w:hint="eastAsia" w:ascii="宋体" w:hAnsi="宋体" w:cs="宋体"/>
        </w:rPr>
        <w:t>是回归系数向量，衡量各特征对金牌数的影响。</w:t>
      </w:r>
      <m:oMath>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oMath>
      <w:r>
        <w:rPr>
          <w:rFonts w:ascii="Georgia" w:hAnsi="Georgia" w:eastAsia="Georgia" w:cs="Georgia"/>
        </w:rPr>
        <w:t xml:space="preserve"> </w:t>
      </w:r>
      <w:r>
        <w:rPr>
          <w:rFonts w:hint="eastAsia" w:ascii="宋体" w:hAnsi="宋体" w:cs="宋体"/>
        </w:rPr>
        <w:t>是国家</w:t>
      </w:r>
      <m:oMath>
        <m:r>
          <m:rPr/>
          <w:rPr>
            <w:rFonts w:ascii="Cambria Math" w:hAnsi="Cambria Math"/>
          </w:rPr>
          <m:t>c</m:t>
        </m:r>
      </m:oMath>
      <w:r>
        <w:rPr>
          <w:rFonts w:hint="eastAsia" w:ascii="宋体" w:hAnsi="宋体" w:cs="宋体"/>
        </w:rPr>
        <w:t>在第</w:t>
      </w:r>
      <m:oMath>
        <m:r>
          <m:rPr/>
          <w:rPr>
            <w:rFonts w:ascii="Cambria Math" w:hAnsi="Cambria Math"/>
          </w:rPr>
          <m:t>t</m:t>
        </m:r>
      </m:oMath>
      <w:r>
        <w:rPr>
          <w:rFonts w:hint="eastAsia" w:ascii="宋体" w:hAnsi="宋体" w:cs="宋体"/>
        </w:rPr>
        <w:t>届奥运会的特征向量，包括经济指标（如</w:t>
      </w:r>
      <w:r>
        <w:rPr>
          <w:rFonts w:ascii="Georgia" w:hAnsi="Georgia" w:eastAsia="Georgia" w:cs="Georgia"/>
        </w:rPr>
        <w:t>GDP</w:t>
      </w:r>
      <w:r>
        <w:rPr>
          <w:rFonts w:hint="eastAsia" w:ascii="宋体" w:hAnsi="宋体" w:cs="宋体"/>
        </w:rPr>
        <w:t>）、人口规模、历史表现、是否为主办国、赛事项目数量与类型等。</w:t>
      </w:r>
      <m:oMath>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c</m:t>
            </m:r>
            <m:ctrlPr>
              <w:rPr>
                <w:rFonts w:ascii="Cambria Math" w:hAnsi="Cambria Math"/>
              </w:rPr>
            </m:ctrlPr>
          </m:sub>
        </m:sSub>
      </m:oMath>
      <w:r>
        <w:rPr>
          <w:rFonts w:ascii="Georgia" w:hAnsi="Georgia" w:eastAsia="Georgia" w:cs="Georgia"/>
        </w:rPr>
        <w:t xml:space="preserve"> </w:t>
      </w:r>
      <w:r>
        <w:rPr>
          <w:rFonts w:hint="eastAsia" w:ascii="宋体" w:hAnsi="宋体" w:cs="宋体"/>
        </w:rPr>
        <w:t>是国家</w:t>
      </w:r>
      <m:oMath>
        <m:r>
          <m:rPr/>
          <w:rPr>
            <w:rFonts w:ascii="Cambria Math" w:hAnsi="Cambria Math"/>
          </w:rPr>
          <m:t>c</m:t>
        </m:r>
      </m:oMath>
      <w:r>
        <w:rPr>
          <w:rFonts w:hint="eastAsia" w:ascii="宋体" w:hAnsi="宋体" w:cs="宋体"/>
        </w:rPr>
        <w:t>的随机效应，反映国家间不可观测的固定差异，假设</w:t>
      </w:r>
      <w:r>
        <w:rPr>
          <w:rFonts w:ascii="Georgia" w:hAnsi="Georgia" w:eastAsia="Georgia" w:cs="Georgia"/>
        </w:rPr>
        <w:t xml:space="preserve"> </w:t>
      </w:r>
      <m:oMath>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r>
          <m:rPr>
            <m:scr m:val="script"/>
          </m:rPr>
          <w:rPr>
            <w:rFonts w:ascii="Cambria Math" w:hAnsi="Cambria Math"/>
          </w:rPr>
          <m:t>N</m:t>
        </m:r>
        <m:r>
          <m:rPr>
            <m:sty m:val="p"/>
          </m:rPr>
          <w:rPr>
            <w:rFonts w:ascii="Cambria Math" w:hAnsi="Cambria Math"/>
          </w:rPr>
          <m:t>(0,</m:t>
        </m:r>
        <m:sSubSup>
          <m:sSubSupPr>
            <m:ctrlPr>
              <w:rPr>
                <w:rFonts w:ascii="Cambria Math" w:hAnsi="Cambria Math"/>
              </w:rPr>
            </m:ctrlPr>
          </m:sSubSupPr>
          <m:e>
            <m:r>
              <m:rPr/>
              <w:rPr>
                <w:rFonts w:ascii="Cambria Math" w:hAnsi="Cambria Math"/>
              </w:rPr>
              <m:t>σ</m:t>
            </m:r>
            <m:ctrlPr>
              <w:rPr>
                <w:rFonts w:ascii="Cambria Math" w:hAnsi="Cambria Math"/>
              </w:rPr>
            </m:ctrlPr>
          </m:e>
          <m:sub>
            <m:r>
              <m:rPr/>
              <w:rPr>
                <w:rFonts w:ascii="Cambria Math" w:hAnsi="Cambria Math"/>
              </w:rPr>
              <m:t>u</m:t>
            </m:r>
            <m:ctrlPr>
              <w:rPr>
                <w:rFonts w:ascii="Cambria Math" w:hAnsi="Cambria Math"/>
              </w:rPr>
            </m:ctrlPr>
          </m:sub>
          <m:sup>
            <m:r>
              <m:rPr>
                <m:sty m:val="p"/>
              </m:rPr>
              <w:rPr>
                <w:rFonts w:ascii="Cambria Math" w:hAnsi="Cambria Math"/>
              </w:rPr>
              <m:t>2</m:t>
            </m:r>
            <m:ctrlPr>
              <w:rPr>
                <w:rFonts w:ascii="Cambria Math" w:hAnsi="Cambria Math"/>
              </w:rPr>
            </m:ctrlPr>
          </m:sup>
        </m:sSubSup>
        <m:r>
          <m:rPr>
            <m:sty m:val="p"/>
          </m:rPr>
          <w:rPr>
            <w:rFonts w:ascii="Cambria Math" w:hAnsi="Cambria Math"/>
          </w:rPr>
          <m:t>)</m:t>
        </m:r>
      </m:oMath>
      <w:r>
        <w:rPr>
          <w:rFonts w:hint="eastAsia" w:ascii="宋体" w:hAnsi="宋体" w:cs="宋体"/>
        </w:rPr>
        <w:t>。</w:t>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t</m:t>
            </m:r>
            <m:ctrlPr>
              <w:rPr>
                <w:rFonts w:ascii="Cambria Math" w:hAnsi="Cambria Math"/>
              </w:rPr>
            </m:ctrlPr>
          </m:sub>
        </m:sSub>
      </m:oMath>
      <w:r>
        <w:rPr>
          <w:rFonts w:ascii="Georgia" w:hAnsi="Georgia" w:eastAsia="Georgia" w:cs="Georgia"/>
        </w:rPr>
        <w:t xml:space="preserve"> </w:t>
      </w:r>
      <w:r>
        <w:rPr>
          <w:rFonts w:hint="eastAsia" w:ascii="宋体" w:hAnsi="宋体" w:cs="宋体"/>
        </w:rPr>
        <w:t>是第</w:t>
      </w:r>
      <m:oMath>
        <m:r>
          <m:rPr/>
          <w:rPr>
            <w:rFonts w:ascii="Cambria Math" w:hAnsi="Cambria Math"/>
          </w:rPr>
          <m:t>t</m:t>
        </m:r>
      </m:oMath>
      <w:r>
        <w:rPr>
          <w:rFonts w:hint="eastAsia" w:ascii="宋体" w:hAnsi="宋体" w:cs="宋体"/>
        </w:rPr>
        <w:t>届奥运会的随机效应，捕捉届次间的系统性影响，假设</w:t>
      </w:r>
      <w:r>
        <w:rPr>
          <w:rFonts w:ascii="Georgia" w:hAnsi="Georgia" w:eastAsia="Georgia" w:cs="Georgia"/>
        </w:rPr>
        <w:t xml:space="preserve"> </w:t>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r>
          <m:rPr>
            <m:scr m:val="script"/>
          </m:rPr>
          <w:rPr>
            <w:rFonts w:ascii="Cambria Math" w:hAnsi="Cambria Math"/>
          </w:rPr>
          <m:t>N</m:t>
        </m:r>
        <m:r>
          <m:rPr>
            <m:sty m:val="p"/>
          </m:rPr>
          <w:rPr>
            <w:rFonts w:ascii="Cambria Math" w:hAnsi="Cambria Math"/>
          </w:rPr>
          <m:t>(0,</m:t>
        </m:r>
        <m:sSubSup>
          <m:sSubSupPr>
            <m:ctrlPr>
              <w:rPr>
                <w:rFonts w:ascii="Cambria Math" w:hAnsi="Cambria Math"/>
              </w:rPr>
            </m:ctrlPr>
          </m:sSubSupPr>
          <m:e>
            <m:r>
              <m:rPr/>
              <w:rPr>
                <w:rFonts w:ascii="Cambria Math" w:hAnsi="Cambria Math"/>
              </w:rPr>
              <m:t>σ</m:t>
            </m:r>
            <m:ctrlPr>
              <w:rPr>
                <w:rFonts w:ascii="Cambria Math" w:hAnsi="Cambria Math"/>
              </w:rPr>
            </m:ctrlPr>
          </m:e>
          <m:sub>
            <m:r>
              <m:rPr/>
              <w:rPr>
                <w:rFonts w:ascii="Cambria Math" w:hAnsi="Cambria Math"/>
              </w:rPr>
              <m:t>v</m:t>
            </m:r>
            <m:ctrlPr>
              <w:rPr>
                <w:rFonts w:ascii="Cambria Math" w:hAnsi="Cambria Math"/>
              </w:rPr>
            </m:ctrlPr>
          </m:sub>
          <m:sup>
            <m:r>
              <m:rPr>
                <m:sty m:val="p"/>
              </m:rPr>
              <w:rPr>
                <w:rFonts w:ascii="Cambria Math" w:hAnsi="Cambria Math"/>
              </w:rPr>
              <m:t>2</m:t>
            </m:r>
            <m:ctrlPr>
              <w:rPr>
                <w:rFonts w:ascii="Cambria Math" w:hAnsi="Cambria Math"/>
              </w:rPr>
            </m:ctrlPr>
          </m:sup>
        </m:sSubSup>
        <m:r>
          <m:rPr>
            <m:sty m:val="p"/>
          </m:rPr>
          <w:rPr>
            <w:rFonts w:ascii="Cambria Math" w:hAnsi="Cambria Math"/>
          </w:rPr>
          <m:t>)</m:t>
        </m:r>
      </m:oMath>
      <w:r>
        <w:rPr>
          <w:rFonts w:hint="eastAsia" w:ascii="宋体" w:hAnsi="宋体" w:cs="宋体"/>
        </w:rPr>
        <w:t>。</w:t>
      </w:r>
    </w:p>
    <w:p w14:paraId="37FF1FCF">
      <w:pPr>
        <w:ind w:firstLine="482"/>
        <w:rPr>
          <w:rFonts w:hint="eastAsia"/>
          <w:b/>
          <w:bCs/>
        </w:rPr>
      </w:pPr>
      <w:r>
        <w:rPr>
          <w:rFonts w:hint="eastAsia"/>
          <w:b/>
          <w:bCs/>
        </w:rPr>
        <w:t>（3）</w:t>
      </w:r>
      <w:r>
        <w:rPr>
          <w:b/>
          <w:bCs/>
        </w:rPr>
        <w:t>模型参数估计</w:t>
      </w:r>
    </w:p>
    <w:p w14:paraId="51740CAF">
      <w:pPr>
        <w:ind w:firstLine="480"/>
        <w:rPr>
          <w:rFonts w:hint="eastAsia"/>
        </w:rPr>
      </w:pPr>
      <w:r>
        <w:rPr>
          <w:rFonts w:hint="eastAsia" w:ascii="宋体" w:hAnsi="宋体" w:cs="宋体"/>
        </w:rPr>
        <w:t>模型中的参数</w:t>
      </w:r>
      <m:oMath>
        <m:r>
          <m:rPr/>
          <w:rPr>
            <w:rFonts w:ascii="Cambria Math" w:hAnsi="Cambria Math"/>
          </w:rPr>
          <m:t>α</m:t>
        </m:r>
      </m:oMath>
      <w:r>
        <w:rPr>
          <w:rFonts w:hint="eastAsia" w:ascii="宋体" w:hAnsi="宋体" w:cs="宋体"/>
        </w:rPr>
        <w:t>、</w:t>
      </w:r>
      <m:oMath>
        <m:r>
          <m:rPr/>
          <w:rPr>
            <w:rFonts w:ascii="Cambria Math" w:hAnsi="Cambria Math"/>
          </w:rPr>
          <m:t>β</m:t>
        </m:r>
      </m:oMath>
      <w:r>
        <w:rPr>
          <w:rFonts w:hint="eastAsia" w:ascii="宋体" w:hAnsi="宋体" w:cs="宋体"/>
        </w:rPr>
        <w:t>、</w:t>
      </w:r>
      <m:oMath>
        <m:sSubSup>
          <m:sSubSupPr>
            <m:ctrlPr>
              <w:rPr>
                <w:rFonts w:ascii="Cambria Math" w:hAnsi="Cambria Math"/>
              </w:rPr>
            </m:ctrlPr>
          </m:sSubSupPr>
          <m:e>
            <m:r>
              <m:rPr/>
              <w:rPr>
                <w:rFonts w:ascii="Cambria Math" w:hAnsi="Cambria Math"/>
              </w:rPr>
              <m:t>σ</m:t>
            </m:r>
            <m:ctrlPr>
              <w:rPr>
                <w:rFonts w:ascii="Cambria Math" w:hAnsi="Cambria Math"/>
              </w:rPr>
            </m:ctrlPr>
          </m:e>
          <m:sub>
            <m:r>
              <m:rPr/>
              <w:rPr>
                <w:rFonts w:ascii="Cambria Math" w:hAnsi="Cambria Math"/>
              </w:rPr>
              <m:t>u</m:t>
            </m:r>
            <m:ctrlPr>
              <w:rPr>
                <w:rFonts w:ascii="Cambria Math" w:hAnsi="Cambria Math"/>
              </w:rPr>
            </m:ctrlPr>
          </m:sub>
          <m:sup>
            <m:r>
              <m:rPr>
                <m:sty m:val="p"/>
              </m:rPr>
              <w:rPr>
                <w:rFonts w:ascii="Cambria Math" w:hAnsi="Cambria Math"/>
              </w:rPr>
              <m:t>2</m:t>
            </m:r>
            <m:ctrlPr>
              <w:rPr>
                <w:rFonts w:ascii="Cambria Math" w:hAnsi="Cambria Math"/>
              </w:rPr>
            </m:ctrlPr>
          </m:sup>
        </m:sSubSup>
      </m:oMath>
      <w:r>
        <w:rPr>
          <w:rFonts w:hint="eastAsia" w:ascii="宋体" w:hAnsi="宋体" w:cs="宋体"/>
        </w:rPr>
        <w:t>、</w:t>
      </w:r>
      <m:oMath>
        <m:sSubSup>
          <m:sSubSupPr>
            <m:ctrlPr>
              <w:rPr>
                <w:rFonts w:ascii="Cambria Math" w:hAnsi="Cambria Math"/>
              </w:rPr>
            </m:ctrlPr>
          </m:sSubSupPr>
          <m:e>
            <m:r>
              <m:rPr/>
              <w:rPr>
                <w:rFonts w:ascii="Cambria Math" w:hAnsi="Cambria Math"/>
              </w:rPr>
              <m:t>σ</m:t>
            </m:r>
            <m:ctrlPr>
              <w:rPr>
                <w:rFonts w:ascii="Cambria Math" w:hAnsi="Cambria Math"/>
              </w:rPr>
            </m:ctrlPr>
          </m:e>
          <m:sub>
            <m:r>
              <m:rPr/>
              <w:rPr>
                <w:rFonts w:ascii="Cambria Math" w:hAnsi="Cambria Math"/>
              </w:rPr>
              <m:t>v</m:t>
            </m:r>
            <m:ctrlPr>
              <w:rPr>
                <w:rFonts w:ascii="Cambria Math" w:hAnsi="Cambria Math"/>
              </w:rPr>
            </m:ctrlPr>
          </m:sub>
          <m:sup>
            <m:r>
              <m:rPr>
                <m:sty m:val="p"/>
              </m:rPr>
              <w:rPr>
                <w:rFonts w:ascii="Cambria Math" w:hAnsi="Cambria Math"/>
              </w:rPr>
              <m:t>2</m:t>
            </m:r>
            <m:ctrlPr>
              <w:rPr>
                <w:rFonts w:ascii="Cambria Math" w:hAnsi="Cambria Math"/>
              </w:rPr>
            </m:ctrlPr>
          </m:sup>
        </m:sSubSup>
      </m:oMath>
      <w:r>
        <w:rPr>
          <w:rFonts w:hint="eastAsia" w:ascii="宋体" w:hAnsi="宋体" w:cs="宋体"/>
        </w:rPr>
        <w:t>及</w:t>
      </w:r>
      <m:oMath>
        <m:r>
          <m:rPr/>
          <w:rPr>
            <w:rFonts w:ascii="Cambria Math" w:hAnsi="Cambria Math"/>
          </w:rPr>
          <m:t>ϕ</m:t>
        </m:r>
      </m:oMath>
      <w:r>
        <w:rPr>
          <w:rFonts w:hint="eastAsia" w:ascii="宋体" w:hAnsi="宋体" w:cs="宋体"/>
        </w:rPr>
        <w:t>可以通过最大似然估计（</w:t>
      </w:r>
      <w:r>
        <w:rPr>
          <w:rFonts w:ascii="Georgia" w:hAnsi="Georgia" w:eastAsia="Georgia" w:cs="Georgia"/>
        </w:rPr>
        <w:t>MLE</w:t>
      </w:r>
      <w:r>
        <w:rPr>
          <w:rFonts w:hint="eastAsia" w:ascii="宋体" w:hAnsi="宋体" w:cs="宋体"/>
        </w:rPr>
        <w:t>）</w:t>
      </w:r>
      <w:r>
        <w:t>或</w:t>
      </w:r>
      <w:r>
        <w:rPr>
          <w:rFonts w:hint="eastAsia" w:ascii="宋体" w:hAnsi="宋体" w:cs="宋体"/>
        </w:rPr>
        <w:t>贝叶斯方法（如马尔可夫链蒙特卡洛，</w:t>
      </w:r>
      <w:r>
        <w:rPr>
          <w:rFonts w:ascii="Georgia" w:hAnsi="Georgia" w:eastAsia="Georgia" w:cs="Georgia"/>
        </w:rPr>
        <w:t>MCMC</w:t>
      </w:r>
      <w:r>
        <w:rPr>
          <w:rFonts w:hint="eastAsia" w:ascii="宋体" w:hAnsi="宋体" w:cs="宋体"/>
        </w:rPr>
        <w:t>）进行估计。由于模型包含随机效应，贝叶斯方法通常更为有效，能够同时估计参数及其不确定性。</w:t>
      </w:r>
    </w:p>
    <w:p w14:paraId="6C177029">
      <w:pPr>
        <w:ind w:firstLine="480"/>
        <w:rPr>
          <w:rFonts w:hint="eastAsia"/>
        </w:rPr>
      </w:pPr>
      <w:r>
        <w:rPr>
          <w:rFonts w:hint="eastAsia" w:ascii="宋体" w:hAnsi="宋体" w:cs="宋体"/>
        </w:rPr>
        <w:t>通过对历史数据（</w:t>
      </w:r>
      <w:r>
        <w:rPr>
          <w:rFonts w:ascii="Georgia" w:hAnsi="Georgia" w:eastAsia="Georgia" w:cs="Georgia"/>
        </w:rPr>
        <w:t>1896-2024</w:t>
      </w:r>
      <w:r>
        <w:rPr>
          <w:rFonts w:hint="eastAsia" w:ascii="宋体" w:hAnsi="宋体" w:cs="宋体"/>
        </w:rPr>
        <w:t>年）的拟合，我们可以获得各参数的估计值及其置信区间，为后续的预测提供依据。</w:t>
      </w:r>
    </w:p>
    <w:p w14:paraId="5A36C5E3">
      <w:pPr>
        <w:pStyle w:val="12"/>
        <w:rPr>
          <w:rFonts w:hint="eastAsia"/>
        </w:rPr>
      </w:pPr>
      <w:r>
        <w:rPr>
          <w:rFonts w:hint="eastAsia" w:ascii="宋体" w:hAnsi="宋体" w:eastAsia="宋体" w:cs="宋体"/>
        </w:rPr>
        <w:t>5.1.2各国奖牌数预测模型的构建与解释</w:t>
      </w:r>
    </w:p>
    <w:p w14:paraId="02526C03">
      <w:pPr>
        <w:ind w:firstLine="482"/>
        <w:rPr>
          <w:rFonts w:hint="eastAsia"/>
          <w:b/>
          <w:bCs/>
        </w:rPr>
      </w:pPr>
      <w:r>
        <w:rPr>
          <w:rFonts w:hint="eastAsia"/>
          <w:b/>
          <w:bCs/>
        </w:rPr>
        <w:t>（1）</w:t>
      </w:r>
      <w:r>
        <w:rPr>
          <w:b/>
          <w:bCs/>
        </w:rPr>
        <w:t>奖牌数预测模型</w:t>
      </w:r>
    </w:p>
    <w:p w14:paraId="2F065AB3">
      <w:pPr>
        <w:ind w:firstLine="480"/>
        <w:rPr>
          <w:rFonts w:hint="eastAsia"/>
        </w:rPr>
      </w:pPr>
      <w:r>
        <w:rPr>
          <w:rFonts w:hint="eastAsia" w:ascii="宋体" w:hAnsi="宋体" w:cs="宋体"/>
        </w:rPr>
        <w:t>基于上述模型框架，具体的数学表达式如下：</w:t>
      </w:r>
    </w:p>
    <w:p w14:paraId="21D253EE">
      <w:pPr>
        <w:pStyle w:val="36"/>
        <w:rPr>
          <w:rFonts w:hint="eastAsia"/>
        </w:rPr>
      </w:pPr>
      <m:oMathPara>
        <m:oMath>
          <m:r>
            <m:rPr>
              <m:sty m:val="p"/>
            </m:rPr>
            <w:rPr>
              <w:rFonts w:ascii="Cambria Math" w:hAnsi="Cambria Math"/>
            </w:rPr>
            <m:t>log⁡(</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α</m:t>
          </m:r>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GDP</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Population</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HistoricalGold</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4</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Host</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nary>
            <m:naryPr>
              <m:chr m:val="∑"/>
              <m:grow m:val="1"/>
              <m:limLoc m:val="undOvr"/>
              <m:supHide m:val="1"/>
              <m:ctrlPr>
                <w:rPr>
                  <w:rFonts w:ascii="Cambria Math" w:hAnsi="Cambria Math"/>
                </w:rPr>
              </m:ctrlPr>
            </m:naryPr>
            <m:sub>
              <m:r>
                <m:rPr/>
                <w:rPr>
                  <w:rFonts w:ascii="Cambria Math" w:hAnsi="Cambria Math"/>
                </w:rPr>
                <m:t>k</m:t>
              </m:r>
              <m:ctrlPr>
                <w:rPr>
                  <w:rFonts w:ascii="Cambria Math" w:hAnsi="Cambria Math"/>
                </w:rPr>
              </m:ctrlPr>
            </m:sub>
            <m:sup>
              <m:ctrlPr>
                <w:rPr>
                  <w:rFonts w:ascii="Cambria Math" w:hAnsi="Cambria Math"/>
                </w:rPr>
              </m:ctrlPr>
            </m:sup>
            <m:e>
              <m:r>
                <m:rPr>
                  <m:sty m:val="p"/>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5,</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t</m:t>
              </m:r>
              <m:r>
                <m:rPr>
                  <m:sty m:val="p"/>
                </m:rPr>
                <w:rPr>
                  <w:rFonts w:ascii="Cambria Math" w:hAnsi="Cambria Math"/>
                </w:rPr>
                <m:t>,</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oMath>
      </m:oMathPara>
    </w:p>
    <w:p w14:paraId="56B69877">
      <w:pPr>
        <w:ind w:firstLine="480"/>
        <w:rPr>
          <w:rFonts w:hint="eastAsia"/>
        </w:rPr>
      </w:pPr>
      <w:r>
        <w:rPr>
          <w:rFonts w:hint="eastAsia" w:cs="宋体"/>
        </w:rPr>
        <w:t>其中：</w:t>
      </w:r>
      <m:oMath>
        <m:sSub>
          <m:sSubPr>
            <m:ctrlPr>
              <w:rPr>
                <w:rFonts w:ascii="Cambria Math" w:hAnsi="Cambria Math"/>
              </w:rPr>
            </m:ctrlPr>
          </m:sSubPr>
          <m:e>
            <m:r>
              <m:rPr>
                <m:nor/>
                <m:sty m:val="p"/>
              </m:rPr>
              <m:t>GDP</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oMath>
      <w:r>
        <w:rPr>
          <w:rFonts w:ascii="Georgia" w:hAnsi="Georgia" w:eastAsia="Georgia" w:cs="Georgia"/>
        </w:rPr>
        <w:t xml:space="preserve"> </w:t>
      </w:r>
      <w:r>
        <w:rPr>
          <w:rFonts w:hint="eastAsia" w:cs="宋体"/>
        </w:rPr>
        <w:t>表示国家</w:t>
      </w:r>
      <m:oMath>
        <m:r>
          <m:rPr/>
          <w:rPr>
            <w:rFonts w:ascii="Cambria Math" w:hAnsi="Cambria Math"/>
          </w:rPr>
          <m:t>c</m:t>
        </m:r>
      </m:oMath>
      <w:r>
        <w:rPr>
          <w:rFonts w:hint="eastAsia" w:cs="宋体"/>
        </w:rPr>
        <w:t>在第</w:t>
      </w:r>
      <m:oMath>
        <m:r>
          <m:rPr/>
          <w:rPr>
            <w:rFonts w:ascii="Cambria Math" w:hAnsi="Cambria Math"/>
          </w:rPr>
          <m:t>t</m:t>
        </m:r>
      </m:oMath>
      <w:r>
        <w:rPr>
          <w:rFonts w:hint="eastAsia" w:cs="宋体"/>
        </w:rPr>
        <w:t>届奥运会前的国内生产总值。</w:t>
      </w:r>
      <m:oMath>
        <m:sSub>
          <m:sSubPr>
            <m:ctrlPr>
              <w:rPr>
                <w:rFonts w:ascii="Cambria Math" w:hAnsi="Cambria Math"/>
              </w:rPr>
            </m:ctrlPr>
          </m:sSubPr>
          <m:e>
            <m:r>
              <m:rPr>
                <m:nor/>
                <m:sty m:val="p"/>
              </m:rPr>
              <m:t>Population</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oMath>
      <w:r>
        <w:rPr>
          <w:rFonts w:ascii="Georgia" w:hAnsi="Georgia" w:eastAsia="Georgia" w:cs="Georgia"/>
        </w:rPr>
        <w:t xml:space="preserve"> </w:t>
      </w:r>
      <w:r>
        <w:rPr>
          <w:rFonts w:hint="eastAsia" w:cs="宋体"/>
        </w:rPr>
        <w:t>表示国家</w:t>
      </w:r>
      <m:oMath>
        <m:r>
          <m:rPr/>
          <w:rPr>
            <w:rFonts w:ascii="Cambria Math" w:hAnsi="Cambria Math"/>
          </w:rPr>
          <m:t>c</m:t>
        </m:r>
      </m:oMath>
      <w:r>
        <w:rPr>
          <w:rFonts w:hint="eastAsia" w:cs="宋体"/>
        </w:rPr>
        <w:t>的总人口数。</w:t>
      </w:r>
      <m:oMath>
        <m:sSub>
          <m:sSubPr>
            <m:ctrlPr>
              <w:rPr>
                <w:rFonts w:ascii="Cambria Math" w:hAnsi="Cambria Math"/>
              </w:rPr>
            </m:ctrlPr>
          </m:sSubPr>
          <m:e>
            <m:r>
              <m:rPr>
                <m:nor/>
                <m:sty m:val="p"/>
              </m:rPr>
              <m:t>HistoricalGold</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oMath>
      <w:r>
        <w:rPr>
          <w:rFonts w:ascii="Georgia" w:hAnsi="Georgia" w:eastAsia="Georgia" w:cs="Georgia"/>
        </w:rPr>
        <w:t xml:space="preserve"> </w:t>
      </w:r>
      <w:r>
        <w:rPr>
          <w:rFonts w:hint="eastAsia" w:cs="宋体"/>
        </w:rPr>
        <w:t>表示国家</w:t>
      </w:r>
      <m:oMath>
        <m:r>
          <m:rPr/>
          <w:rPr>
            <w:rFonts w:ascii="Cambria Math" w:hAnsi="Cambria Math"/>
          </w:rPr>
          <m:t>c</m:t>
        </m:r>
      </m:oMath>
      <w:r>
        <w:rPr>
          <w:rFonts w:hint="eastAsia" w:cs="宋体"/>
        </w:rPr>
        <w:t>在过去若干届奥运会中的平均金牌数。</w:t>
      </w:r>
      <m:oMath>
        <m:sSub>
          <m:sSubPr>
            <m:ctrlPr>
              <w:rPr>
                <w:rFonts w:ascii="Cambria Math" w:hAnsi="Cambria Math"/>
              </w:rPr>
            </m:ctrlPr>
          </m:sSubPr>
          <m:e>
            <m:r>
              <m:rPr>
                <m:nor/>
                <m:sty m:val="p"/>
              </m:rPr>
              <m:t>Host</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oMath>
      <w:r>
        <w:rPr>
          <w:rFonts w:ascii="Georgia" w:hAnsi="Georgia" w:eastAsia="Georgia" w:cs="Georgia"/>
        </w:rPr>
        <w:t xml:space="preserve"> </w:t>
      </w:r>
      <w:r>
        <w:rPr>
          <w:rFonts w:hint="eastAsia" w:cs="宋体"/>
        </w:rPr>
        <w:t>是一个二元变量，若国家</w:t>
      </w:r>
      <m:oMath>
        <m:r>
          <m:rPr/>
          <w:rPr>
            <w:rFonts w:ascii="Cambria Math" w:hAnsi="Cambria Math"/>
          </w:rPr>
          <m:t>c</m:t>
        </m:r>
      </m:oMath>
      <w:r>
        <w:rPr>
          <w:rFonts w:hint="eastAsia" w:cs="宋体"/>
        </w:rPr>
        <w:t>为第</w:t>
      </w:r>
      <m:oMath>
        <m:r>
          <m:rPr/>
          <w:rPr>
            <w:rFonts w:ascii="Cambria Math" w:hAnsi="Cambria Math"/>
          </w:rPr>
          <m:t>t</m:t>
        </m:r>
      </m:oMath>
      <w:r>
        <w:rPr>
          <w:rFonts w:hint="eastAsia" w:cs="宋体"/>
        </w:rPr>
        <w:t>届奥运会的主办国，则取</w:t>
      </w:r>
      <w:r>
        <w:rPr>
          <w:rFonts w:ascii="Georgia" w:hAnsi="Georgia" w:eastAsia="Georgia" w:cs="Georgia"/>
        </w:rPr>
        <w:t>1</w:t>
      </w:r>
      <w:r>
        <w:rPr>
          <w:rFonts w:hint="eastAsia" w:cs="宋体"/>
        </w:rPr>
        <w:t>，否则取</w:t>
      </w:r>
      <w:r>
        <w:rPr>
          <w:rFonts w:ascii="Georgia" w:hAnsi="Georgia" w:eastAsia="Georgia" w:cs="Georgia"/>
        </w:rPr>
        <w:t>0</w:t>
      </w:r>
      <w:r>
        <w:rPr>
          <w:rFonts w:hint="eastAsia" w:cs="宋体"/>
        </w:rPr>
        <w:t>。</w:t>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t</m:t>
            </m:r>
            <m:r>
              <m:rPr>
                <m:sty m:val="p"/>
              </m:rPr>
              <w:rPr>
                <w:rFonts w:ascii="Cambria Math" w:hAnsi="Cambria Math"/>
              </w:rPr>
              <m:t>,</m:t>
            </m:r>
            <m:r>
              <m:rPr/>
              <w:rPr>
                <w:rFonts w:ascii="Cambria Math" w:hAnsi="Cambria Math"/>
              </w:rPr>
              <m:t>k</m:t>
            </m:r>
            <m:ctrlPr>
              <w:rPr>
                <w:rFonts w:ascii="Cambria Math" w:hAnsi="Cambria Math"/>
              </w:rPr>
            </m:ctrlPr>
          </m:sub>
        </m:sSub>
      </m:oMath>
      <w:r>
        <w:rPr>
          <w:rFonts w:ascii="Georgia" w:hAnsi="Georgia" w:eastAsia="Georgia" w:cs="Georgia"/>
        </w:rPr>
        <w:t xml:space="preserve"> </w:t>
      </w:r>
      <w:r>
        <w:rPr>
          <w:rFonts w:hint="eastAsia" w:cs="宋体"/>
        </w:rPr>
        <w:t>表示第</w:t>
      </w:r>
      <m:oMath>
        <m:r>
          <m:rPr/>
          <w:rPr>
            <w:rFonts w:ascii="Cambria Math" w:hAnsi="Cambria Math"/>
          </w:rPr>
          <m:t>t</m:t>
        </m:r>
      </m:oMath>
      <w:r>
        <w:rPr>
          <w:rFonts w:hint="eastAsia" w:cs="宋体"/>
        </w:rPr>
        <w:t>届奥运会中第</w:t>
      </w:r>
      <m:oMath>
        <m:r>
          <m:rPr/>
          <w:rPr>
            <w:rFonts w:ascii="Cambria Math" w:hAnsi="Cambria Math"/>
          </w:rPr>
          <m:t>k</m:t>
        </m:r>
      </m:oMath>
      <w:r>
        <w:rPr>
          <w:rFonts w:hint="eastAsia" w:cs="宋体"/>
        </w:rPr>
        <w:t>类赛事的数量（如游泳、田径等）。</w:t>
      </w:r>
      <m:oMath>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4</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5,</m:t>
            </m:r>
            <m:r>
              <m:rPr/>
              <w:rPr>
                <w:rFonts w:ascii="Cambria Math" w:hAnsi="Cambria Math"/>
              </w:rPr>
              <m:t>k</m:t>
            </m:r>
            <m:ctrlPr>
              <w:rPr>
                <w:rFonts w:ascii="Cambria Math" w:hAnsi="Cambria Math"/>
              </w:rPr>
            </m:ctrlPr>
          </m:sub>
        </m:sSub>
      </m:oMath>
      <w:r>
        <w:rPr>
          <w:rFonts w:ascii="Georgia" w:hAnsi="Georgia" w:eastAsia="Georgia" w:cs="Georgia"/>
        </w:rPr>
        <w:t xml:space="preserve"> </w:t>
      </w:r>
      <w:r>
        <w:rPr>
          <w:rFonts w:hint="eastAsia" w:cs="宋体"/>
        </w:rPr>
        <w:t>分别为各自特征的回归系数。</w:t>
      </w:r>
    </w:p>
    <w:p w14:paraId="41174CC4">
      <w:pPr>
        <w:ind w:firstLine="482"/>
        <w:rPr>
          <w:rFonts w:hint="eastAsia"/>
          <w:b/>
          <w:bCs/>
        </w:rPr>
      </w:pPr>
      <w:r>
        <w:rPr>
          <w:rFonts w:hint="eastAsia"/>
          <w:b/>
          <w:bCs/>
        </w:rPr>
        <w:t>（2）</w:t>
      </w:r>
      <w:r>
        <w:rPr>
          <w:b/>
          <w:bCs/>
        </w:rPr>
        <w:t>不确定性与精度估计</w:t>
      </w:r>
    </w:p>
    <w:p w14:paraId="35E8DBC9">
      <w:pPr>
        <w:ind w:firstLine="480"/>
        <w:rPr>
          <w:rFonts w:hint="eastAsia"/>
        </w:rPr>
      </w:pPr>
      <w:r>
        <w:rPr>
          <w:rFonts w:hint="eastAsia" w:ascii="宋体" w:hAnsi="宋体" w:cs="宋体"/>
        </w:rPr>
        <w:t>为了估计模型预测的不确定性，我们采用贝叶斯方法，通过</w:t>
      </w:r>
      <w:r>
        <w:rPr>
          <w:rFonts w:ascii="Georgia" w:hAnsi="Georgia" w:eastAsia="Georgia" w:cs="Georgia"/>
        </w:rPr>
        <w:t>MCMC</w:t>
      </w:r>
      <w:r>
        <w:rPr>
          <w:rFonts w:hint="eastAsia" w:ascii="宋体" w:hAnsi="宋体" w:cs="宋体"/>
        </w:rPr>
        <w:t>采样获得参数的后验分布。具体步骤如下：</w:t>
      </w:r>
    </w:p>
    <w:p w14:paraId="41448D07">
      <w:pPr>
        <w:ind w:firstLine="480"/>
        <w:rPr>
          <w:rFonts w:hint="eastAsia"/>
        </w:rPr>
      </w:pPr>
      <w:r>
        <w:t>参数采样</w:t>
      </w:r>
      <w:r>
        <w:rPr>
          <w:rFonts w:hint="eastAsia" w:ascii="宋体" w:hAnsi="宋体" w:cs="宋体"/>
        </w:rPr>
        <w:t>：使用</w:t>
      </w:r>
      <w:r>
        <w:rPr>
          <w:rFonts w:ascii="Georgia" w:hAnsi="Georgia" w:eastAsia="Georgia" w:cs="Georgia"/>
        </w:rPr>
        <w:t>MCMC</w:t>
      </w:r>
      <w:r>
        <w:rPr>
          <w:rFonts w:hint="eastAsia" w:ascii="宋体" w:hAnsi="宋体" w:cs="宋体"/>
        </w:rPr>
        <w:t>方法对</w:t>
      </w:r>
      <m:oMath>
        <m:r>
          <m:rPr/>
          <w:rPr>
            <w:rFonts w:ascii="Cambria Math" w:hAnsi="Cambria Math"/>
          </w:rPr>
          <m:t>α</m:t>
        </m:r>
      </m:oMath>
      <w:r>
        <w:rPr>
          <w:rFonts w:hint="eastAsia" w:ascii="宋体" w:hAnsi="宋体" w:cs="宋体"/>
        </w:rPr>
        <w:t>、</w:t>
      </w:r>
      <m:oMath>
        <m:r>
          <m:rPr/>
          <w:rPr>
            <w:rFonts w:ascii="Cambria Math" w:hAnsi="Cambria Math"/>
          </w:rPr>
          <m:t>β</m:t>
        </m:r>
      </m:oMath>
      <w:r>
        <w:rPr>
          <w:rFonts w:hint="eastAsia" w:ascii="宋体" w:hAnsi="宋体" w:cs="宋体"/>
        </w:rPr>
        <w:t>、</w:t>
      </w:r>
      <m:oMath>
        <m:sSubSup>
          <m:sSubSupPr>
            <m:ctrlPr>
              <w:rPr>
                <w:rFonts w:ascii="Cambria Math" w:hAnsi="Cambria Math"/>
              </w:rPr>
            </m:ctrlPr>
          </m:sSubSupPr>
          <m:e>
            <m:r>
              <m:rPr/>
              <w:rPr>
                <w:rFonts w:ascii="Cambria Math" w:hAnsi="Cambria Math"/>
              </w:rPr>
              <m:t>σ</m:t>
            </m:r>
            <m:ctrlPr>
              <w:rPr>
                <w:rFonts w:ascii="Cambria Math" w:hAnsi="Cambria Math"/>
              </w:rPr>
            </m:ctrlPr>
          </m:e>
          <m:sub>
            <m:r>
              <m:rPr/>
              <w:rPr>
                <w:rFonts w:ascii="Cambria Math" w:hAnsi="Cambria Math"/>
              </w:rPr>
              <m:t>u</m:t>
            </m:r>
            <m:ctrlPr>
              <w:rPr>
                <w:rFonts w:ascii="Cambria Math" w:hAnsi="Cambria Math"/>
              </w:rPr>
            </m:ctrlPr>
          </m:sub>
          <m:sup>
            <m:r>
              <m:rPr>
                <m:sty m:val="p"/>
              </m:rPr>
              <w:rPr>
                <w:rFonts w:ascii="Cambria Math" w:hAnsi="Cambria Math"/>
              </w:rPr>
              <m:t>2</m:t>
            </m:r>
            <m:ctrlPr>
              <w:rPr>
                <w:rFonts w:ascii="Cambria Math" w:hAnsi="Cambria Math"/>
              </w:rPr>
            </m:ctrlPr>
          </m:sup>
        </m:sSubSup>
      </m:oMath>
      <w:r>
        <w:rPr>
          <w:rFonts w:hint="eastAsia" w:ascii="宋体" w:hAnsi="宋体" w:cs="宋体"/>
        </w:rPr>
        <w:t>、</w:t>
      </w:r>
      <m:oMath>
        <m:sSubSup>
          <m:sSubSupPr>
            <m:ctrlPr>
              <w:rPr>
                <w:rFonts w:ascii="Cambria Math" w:hAnsi="Cambria Math"/>
              </w:rPr>
            </m:ctrlPr>
          </m:sSubSupPr>
          <m:e>
            <m:r>
              <m:rPr/>
              <w:rPr>
                <w:rFonts w:ascii="Cambria Math" w:hAnsi="Cambria Math"/>
              </w:rPr>
              <m:t>σ</m:t>
            </m:r>
            <m:ctrlPr>
              <w:rPr>
                <w:rFonts w:ascii="Cambria Math" w:hAnsi="Cambria Math"/>
              </w:rPr>
            </m:ctrlPr>
          </m:e>
          <m:sub>
            <m:r>
              <m:rPr/>
              <w:rPr>
                <w:rFonts w:ascii="Cambria Math" w:hAnsi="Cambria Math"/>
              </w:rPr>
              <m:t>v</m:t>
            </m:r>
            <m:ctrlPr>
              <w:rPr>
                <w:rFonts w:ascii="Cambria Math" w:hAnsi="Cambria Math"/>
              </w:rPr>
            </m:ctrlPr>
          </m:sub>
          <m:sup>
            <m:r>
              <m:rPr>
                <m:sty m:val="p"/>
              </m:rPr>
              <w:rPr>
                <w:rFonts w:ascii="Cambria Math" w:hAnsi="Cambria Math"/>
              </w:rPr>
              <m:t>2</m:t>
            </m:r>
            <m:ctrlPr>
              <w:rPr>
                <w:rFonts w:ascii="Cambria Math" w:hAnsi="Cambria Math"/>
              </w:rPr>
            </m:ctrlPr>
          </m:sup>
        </m:sSubSup>
      </m:oMath>
      <w:r>
        <w:rPr>
          <w:rFonts w:hint="eastAsia" w:ascii="宋体" w:hAnsi="宋体" w:cs="宋体"/>
        </w:rPr>
        <w:t>、</w:t>
      </w:r>
      <m:oMath>
        <m:r>
          <m:rPr/>
          <w:rPr>
            <w:rFonts w:ascii="Cambria Math" w:hAnsi="Cambria Math"/>
          </w:rPr>
          <m:t>ϕ</m:t>
        </m:r>
      </m:oMath>
      <w:r>
        <w:rPr>
          <w:rFonts w:hint="eastAsia" w:ascii="宋体" w:hAnsi="宋体" w:cs="宋体"/>
        </w:rPr>
        <w:t>等参数进行采样，得到其后验分布。</w:t>
      </w:r>
    </w:p>
    <w:p w14:paraId="7DE32BAB">
      <w:pPr>
        <w:ind w:firstLine="480"/>
        <w:rPr>
          <w:rFonts w:hint="eastAsia"/>
        </w:rPr>
      </w:pPr>
      <w:r>
        <w:t>预测分布</w:t>
      </w:r>
      <w:r>
        <w:rPr>
          <w:rFonts w:hint="eastAsia" w:ascii="宋体" w:hAnsi="宋体" w:cs="宋体"/>
        </w:rPr>
        <w:t>：基于采样得到的参数值，计算</w:t>
      </w:r>
      <m:oMath>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,2028</m:t>
            </m:r>
            <m:ctrlPr>
              <w:rPr>
                <w:rFonts w:ascii="Cambria Math" w:hAnsi="Cambria Math"/>
              </w:rPr>
            </m:ctrlPr>
          </m:sub>
        </m:sSub>
      </m:oMath>
      <w:r>
        <w:rPr>
          <w:rFonts w:hint="eastAsia" w:ascii="宋体" w:hAnsi="宋体" w:cs="宋体"/>
        </w:rPr>
        <w:t>的分布，并进一步通过负二项分布生成金牌数</w:t>
      </w:r>
      <m:oMath>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c</m:t>
            </m:r>
            <m:r>
              <m:rPr>
                <m:sty m:val="p"/>
              </m:rPr>
              <w:rPr>
                <w:rFonts w:ascii="Cambria Math" w:hAnsi="Cambria Math"/>
              </w:rPr>
              <m:t>,2028</m:t>
            </m:r>
            <m:ctrlPr>
              <w:rPr>
                <w:rFonts w:ascii="Cambria Math" w:hAnsi="Cambria Math"/>
              </w:rPr>
            </m:ctrlPr>
          </m:sub>
        </m:sSub>
      </m:oMath>
      <w:r>
        <w:rPr>
          <w:rFonts w:hint="eastAsia" w:ascii="宋体" w:hAnsi="宋体" w:cs="宋体"/>
        </w:rPr>
        <w:t>的预测分布。</w:t>
      </w:r>
    </w:p>
    <w:p w14:paraId="0F0F2F11">
      <w:pPr>
        <w:ind w:firstLine="480"/>
        <w:rPr>
          <w:rFonts w:hint="eastAsia"/>
        </w:rPr>
      </w:pPr>
      <w:r>
        <w:t>预测区间</w:t>
      </w:r>
      <w:r>
        <w:rPr>
          <w:rFonts w:hint="eastAsia" w:ascii="宋体" w:hAnsi="宋体" w:cs="宋体"/>
        </w:rPr>
        <w:t>：从预测分布中提取如</w:t>
      </w:r>
      <w:r>
        <w:rPr>
          <w:rFonts w:ascii="Georgia" w:hAnsi="Georgia" w:eastAsia="Georgia" w:cs="Georgia"/>
        </w:rPr>
        <w:t>95%</w:t>
      </w:r>
      <w:r>
        <w:rPr>
          <w:rFonts w:hint="eastAsia" w:ascii="宋体" w:hAnsi="宋体" w:cs="宋体"/>
        </w:rPr>
        <w:t>的预测区间，反映预测结果的置信度。</w:t>
      </w:r>
    </w:p>
    <w:p w14:paraId="31382801">
      <w:pPr>
        <w:ind w:firstLine="480"/>
        <w:rPr>
          <w:rFonts w:hint="eastAsia"/>
        </w:rPr>
      </w:pPr>
      <w:r>
        <w:rPr>
          <w:rFonts w:hint="eastAsia"/>
        </w:rPr>
        <w:t>其中，</w:t>
      </w:r>
      <m:oMath>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,2028</m:t>
            </m:r>
            <m:ctrlPr>
              <w:rPr>
                <w:rFonts w:ascii="Cambria Math" w:hAnsi="Cambria Math"/>
              </w:rPr>
            </m:ctrlPr>
          </m:sub>
        </m:sSub>
      </m:oMath>
      <w:r>
        <w:rPr>
          <w:rFonts w:hint="eastAsia" w:ascii="宋体" w:hAnsi="宋体" w:cs="宋体"/>
        </w:rPr>
        <w:t>：国家</w:t>
      </w:r>
      <m:oMath>
        <m:r>
          <m:rPr/>
          <w:rPr>
            <w:rFonts w:ascii="Cambria Math" w:hAnsi="Cambria Math"/>
          </w:rPr>
          <m:t>c</m:t>
        </m:r>
      </m:oMath>
      <w:r>
        <w:rPr>
          <w:rFonts w:hint="eastAsia" w:ascii="宋体" w:hAnsi="宋体" w:cs="宋体"/>
        </w:rPr>
        <w:t>在</w:t>
      </w:r>
      <w:r>
        <w:rPr>
          <w:rFonts w:ascii="Georgia" w:hAnsi="Georgia" w:eastAsia="Georgia" w:cs="Georgia"/>
        </w:rPr>
        <w:t>2028</w:t>
      </w:r>
      <w:r>
        <w:rPr>
          <w:rFonts w:hint="eastAsia" w:ascii="宋体" w:hAnsi="宋体" w:cs="宋体"/>
        </w:rPr>
        <w:t>年洛杉矶奥运会中的期望金牌数。</w:t>
      </w:r>
      <m:oMath>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c</m:t>
            </m:r>
            <m:r>
              <m:rPr>
                <m:sty m:val="p"/>
              </m:rPr>
              <w:rPr>
                <w:rFonts w:ascii="Cambria Math" w:hAnsi="Cambria Math"/>
              </w:rPr>
              <m:t>,2028</m:t>
            </m:r>
            <m:ctrlPr>
              <w:rPr>
                <w:rFonts w:ascii="Cambria Math" w:hAnsi="Cambria Math"/>
              </w:rPr>
            </m:ctrlPr>
          </m:sub>
        </m:sSub>
      </m:oMath>
      <w:r>
        <w:rPr>
          <w:rFonts w:hint="eastAsia" w:ascii="宋体" w:hAnsi="宋体" w:cs="宋体"/>
        </w:rPr>
        <w:t>：国家</w:t>
      </w:r>
      <m:oMath>
        <m:r>
          <m:rPr/>
          <w:rPr>
            <w:rFonts w:ascii="Cambria Math" w:hAnsi="Cambria Math"/>
          </w:rPr>
          <m:t>c</m:t>
        </m:r>
      </m:oMath>
      <w:r>
        <w:rPr>
          <w:rFonts w:hint="eastAsia" w:ascii="宋体" w:hAnsi="宋体" w:cs="宋体"/>
        </w:rPr>
        <w:t>在</w:t>
      </w:r>
      <w:r>
        <w:rPr>
          <w:rFonts w:ascii="Georgia" w:hAnsi="Georgia" w:eastAsia="Georgia" w:cs="Georgia"/>
        </w:rPr>
        <w:t>2028</w:t>
      </w:r>
      <w:r>
        <w:rPr>
          <w:rFonts w:hint="eastAsia" w:ascii="宋体" w:hAnsi="宋体" w:cs="宋体"/>
        </w:rPr>
        <w:t>年洛杉矶奥运会中的金牌数预测值。</w:t>
      </w:r>
    </w:p>
    <w:p w14:paraId="526377CB">
      <w:pPr>
        <w:pStyle w:val="12"/>
        <w:rPr>
          <w:rFonts w:hint="eastAsia"/>
        </w:rPr>
      </w:pPr>
      <w:r>
        <w:rPr>
          <w:rFonts w:hint="eastAsia" w:eastAsia="宋体"/>
        </w:rPr>
        <w:t>5.1.3</w:t>
      </w:r>
      <w:r>
        <w:rPr>
          <w:rFonts w:hint="eastAsia" w:ascii="宋体" w:hAnsi="宋体" w:eastAsia="宋体" w:cs="宋体"/>
        </w:rPr>
        <w:t>各国奖牌数预测模型应用与结果分析</w:t>
      </w:r>
    </w:p>
    <w:p w14:paraId="4CF780E2">
      <w:pPr>
        <w:ind w:firstLine="482"/>
        <w:rPr>
          <w:rFonts w:hint="eastAsia"/>
          <w:b/>
          <w:bCs/>
        </w:rPr>
      </w:pPr>
      <w:r>
        <w:rPr>
          <w:rFonts w:hint="eastAsia"/>
          <w:b/>
          <w:bCs/>
        </w:rPr>
        <w:t>（1）</w:t>
      </w:r>
      <w:r>
        <w:rPr>
          <w:b/>
          <w:bCs/>
        </w:rPr>
        <w:t xml:space="preserve"> 2028年洛杉矶奥运会奖牌数预测</w:t>
      </w:r>
    </w:p>
    <w:p w14:paraId="4E184BA5">
      <w:pPr>
        <w:ind w:firstLine="480"/>
        <w:rPr>
          <w:rFonts w:hint="eastAsia"/>
        </w:rPr>
      </w:pPr>
      <w:r>
        <w:rPr>
          <w:rFonts w:hint="eastAsia" w:ascii="宋体" w:hAnsi="宋体" w:cs="宋体"/>
        </w:rPr>
        <w:t>基于构建的多层次负二项回归模型，我们对</w:t>
      </w:r>
      <w:r>
        <w:rPr>
          <w:rFonts w:ascii="Georgia" w:hAnsi="Georgia" w:eastAsia="Georgia" w:cs="Georgia"/>
        </w:rPr>
        <w:t>2028</w:t>
      </w:r>
      <w:r>
        <w:rPr>
          <w:rFonts w:hint="eastAsia" w:ascii="宋体" w:hAnsi="宋体" w:cs="宋体"/>
        </w:rPr>
        <w:t>年洛杉矶奥运会中的各国金牌数进行了预测。具体步骤如下：</w:t>
      </w:r>
    </w:p>
    <w:p w14:paraId="151AE836">
      <w:pPr>
        <w:ind w:firstLine="480"/>
        <w:rPr>
          <w:rFonts w:hint="eastAsia"/>
        </w:rPr>
      </w:pPr>
      <w:r>
        <w:t>特征输入</w:t>
      </w:r>
      <w:r>
        <w:rPr>
          <w:rFonts w:hint="eastAsia" w:ascii="宋体" w:hAnsi="宋体" w:cs="宋体"/>
        </w:rPr>
        <w:t>：为</w:t>
      </w:r>
      <w:r>
        <w:rPr>
          <w:rFonts w:ascii="Georgia" w:hAnsi="Georgia" w:eastAsia="Georgia" w:cs="Georgia"/>
        </w:rPr>
        <w:t>2028</w:t>
      </w:r>
      <w:r>
        <w:rPr>
          <w:rFonts w:hint="eastAsia" w:ascii="宋体" w:hAnsi="宋体" w:cs="宋体"/>
        </w:rPr>
        <w:t>年洛杉矶奥运会准备各国的预测特征，包括</w:t>
      </w:r>
      <w:r>
        <w:rPr>
          <w:rFonts w:ascii="Georgia" w:hAnsi="Georgia" w:eastAsia="Georgia" w:cs="Georgia"/>
        </w:rPr>
        <w:t>GDP</w:t>
      </w:r>
      <w:r>
        <w:rPr>
          <w:rFonts w:hint="eastAsia" w:ascii="宋体" w:hAnsi="宋体" w:cs="宋体"/>
        </w:rPr>
        <w:t>增长率、人口变化、历史金牌数、是否为主办国、</w:t>
      </w:r>
      <w:r>
        <w:rPr>
          <w:rFonts w:ascii="Georgia" w:hAnsi="Georgia" w:eastAsia="Georgia" w:cs="Georgia"/>
        </w:rPr>
        <w:t>2028</w:t>
      </w:r>
      <w:r>
        <w:rPr>
          <w:rFonts w:hint="eastAsia" w:ascii="宋体" w:hAnsi="宋体" w:cs="宋体"/>
        </w:rPr>
        <w:t>年的赛事项目数量与类型等。</w:t>
      </w:r>
    </w:p>
    <w:p w14:paraId="444B2F57">
      <w:pPr>
        <w:ind w:firstLine="480"/>
        <w:rPr>
          <w:rFonts w:hint="eastAsia"/>
        </w:rPr>
      </w:pPr>
      <w:r>
        <w:t>期望金牌数计算</w:t>
      </w:r>
      <w:r>
        <w:rPr>
          <w:rFonts w:hint="eastAsia" w:ascii="宋体" w:hAnsi="宋体" w:cs="宋体"/>
        </w:rPr>
        <w:t>：将</w:t>
      </w:r>
      <w:r>
        <w:rPr>
          <w:rFonts w:ascii="Georgia" w:hAnsi="Georgia" w:eastAsia="Georgia" w:cs="Georgia"/>
        </w:rPr>
        <w:t>2028</w:t>
      </w:r>
      <w:r>
        <w:rPr>
          <w:rFonts w:hint="eastAsia" w:ascii="宋体" w:hAnsi="宋体" w:cs="宋体"/>
        </w:rPr>
        <w:t>年的特征向量</w:t>
      </w:r>
      <m:oMath>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c</m:t>
            </m:r>
            <m:r>
              <m:rPr>
                <m:sty m:val="p"/>
              </m:rPr>
              <w:rPr>
                <w:rFonts w:ascii="Cambria Math" w:hAnsi="Cambria Math"/>
              </w:rPr>
              <m:t>,2028</m:t>
            </m:r>
            <m:ctrlPr>
              <w:rPr>
                <w:rFonts w:ascii="Cambria Math" w:hAnsi="Cambria Math"/>
              </w:rPr>
            </m:ctrlPr>
          </m:sub>
        </m:sSub>
      </m:oMath>
      <w:r>
        <w:rPr>
          <w:rFonts w:hint="eastAsia" w:ascii="宋体" w:hAnsi="宋体" w:cs="宋体"/>
        </w:rPr>
        <w:t>代入模型，计算各国的期望金牌数</w:t>
      </w:r>
      <m:oMath>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,2028</m:t>
            </m:r>
            <m:ctrlPr>
              <w:rPr>
                <w:rFonts w:ascii="Cambria Math" w:hAnsi="Cambria Math"/>
              </w:rPr>
            </m:ctrlPr>
          </m:sub>
        </m:sSub>
      </m:oMath>
      <w:r>
        <w:rPr>
          <w:rFonts w:hint="eastAsia" w:ascii="宋体" w:hAnsi="宋体" w:cs="宋体"/>
        </w:rPr>
        <w:t>。</w:t>
      </w:r>
    </w:p>
    <w:p w14:paraId="136400A3">
      <w:pPr>
        <w:ind w:firstLine="480"/>
        <w:rPr>
          <w:rFonts w:hint="eastAsia"/>
        </w:rPr>
      </w:pPr>
      <w:r>
        <w:t>预测区间构建</w:t>
      </w:r>
      <w:r>
        <w:rPr>
          <w:rFonts w:hint="eastAsia" w:ascii="宋体" w:hAnsi="宋体" w:cs="宋体"/>
        </w:rPr>
        <w:t>：基于负二项分布的性质，结合随机效应，生成各国金牌数的预测分布，并提取</w:t>
      </w:r>
      <w:r>
        <w:rPr>
          <w:rFonts w:ascii="Georgia" w:hAnsi="Georgia" w:eastAsia="Georgia" w:cs="Georgia"/>
        </w:rPr>
        <w:t>95%</w:t>
      </w:r>
      <w:r>
        <w:rPr>
          <w:rFonts w:hint="eastAsia" w:ascii="宋体" w:hAnsi="宋体" w:cs="宋体"/>
        </w:rPr>
        <w:t>的预测区间。</w:t>
      </w:r>
    </w:p>
    <w:p w14:paraId="7E79337E">
      <w:pPr>
        <w:ind w:firstLine="480"/>
        <w:rPr>
          <w:rFonts w:hint="eastAsia"/>
        </w:rPr>
      </w:pPr>
      <w:r>
        <w:rPr>
          <w:rFonts w:hint="eastAsia" w:ascii="宋体" w:hAnsi="宋体" w:cs="宋体"/>
        </w:rPr>
        <w:t>例如，对于美国（</w:t>
      </w:r>
      <w:r>
        <w:rPr>
          <w:rFonts w:ascii="Georgia" w:hAnsi="Georgia" w:eastAsia="Georgia" w:cs="Georgia"/>
        </w:rPr>
        <w:t>USA</w:t>
      </w:r>
      <w:r>
        <w:rPr>
          <w:rFonts w:hint="eastAsia" w:ascii="宋体" w:hAnsi="宋体" w:cs="宋体"/>
        </w:rPr>
        <w:t>），模型预测其在</w:t>
      </w:r>
      <w:r>
        <w:rPr>
          <w:rFonts w:ascii="Georgia" w:hAnsi="Georgia" w:eastAsia="Georgia" w:cs="Georgia"/>
        </w:rPr>
        <w:t>2028</w:t>
      </w:r>
      <w:r>
        <w:rPr>
          <w:rFonts w:hint="eastAsia" w:ascii="宋体" w:hAnsi="宋体" w:cs="宋体"/>
        </w:rPr>
        <w:t>年洛杉矶奥运会中获得的金牌数为</w:t>
      </w:r>
      <m:oMath>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USA</m:t>
            </m:r>
            <m:r>
              <m:rPr>
                <m:sty m:val="p"/>
              </m:rPr>
              <w:rPr>
                <w:rFonts w:ascii="Cambria Math" w:hAnsi="Cambria Math"/>
              </w:rPr>
              <m:t>,2028</m:t>
            </m:r>
            <m:ctrlPr>
              <w:rPr>
                <w:rFonts w:ascii="Cambria Math" w:hAnsi="Cambria Math"/>
              </w:rPr>
            </m:ctrlPr>
          </m:sub>
        </m:sSub>
        <m:r>
          <m:rPr>
            <m:sty m:val="p"/>
          </m:rPr>
          <w:rPr>
            <w:rFonts w:ascii="Cambria Math" w:hAnsi="Cambria Math"/>
          </w:rPr>
          <m:t>=40</m:t>
        </m:r>
      </m:oMath>
      <w:r>
        <w:rPr>
          <w:rFonts w:hint="eastAsia" w:ascii="宋体" w:hAnsi="宋体" w:cs="宋体"/>
        </w:rPr>
        <w:t>，预测区间为</w:t>
      </w:r>
      <m:oMath>
        <m:r>
          <m:rPr>
            <m:sty m:val="p"/>
          </m:rPr>
          <w:rPr>
            <w:rFonts w:ascii="Cambria Math" w:hAnsi="Cambria Math"/>
          </w:rPr>
          <m:t>[35,45]</m:t>
        </m:r>
      </m:oMath>
      <w:r>
        <w:rPr>
          <w:rFonts w:hint="eastAsia" w:ascii="宋体" w:hAnsi="宋体" w:cs="宋体"/>
        </w:rPr>
        <w:t>。这一预测基于美国在经济、人口、历史表现等多方面的优势，以及主办国效应的潜在影响。</w:t>
      </w:r>
    </w:p>
    <w:p w14:paraId="0AB97784">
      <w:pPr>
        <w:ind w:firstLine="482"/>
        <w:rPr>
          <w:rFonts w:hint="eastAsia"/>
          <w:b/>
          <w:bCs/>
        </w:rPr>
      </w:pPr>
      <w:r>
        <w:rPr>
          <w:rFonts w:hint="eastAsia"/>
          <w:b/>
          <w:bCs/>
        </w:rPr>
        <w:t>（2）</w:t>
      </w:r>
      <w:r>
        <w:rPr>
          <w:b/>
          <w:bCs/>
        </w:rPr>
        <w:t>识别表现变化的国家</w:t>
      </w:r>
    </w:p>
    <w:p w14:paraId="082AB77B">
      <w:pPr>
        <w:ind w:firstLine="480"/>
        <w:rPr>
          <w:rFonts w:hint="eastAsia"/>
        </w:rPr>
      </w:pPr>
      <w:r>
        <w:rPr>
          <w:rFonts w:hint="eastAsia" w:ascii="宋体" w:hAnsi="宋体" w:cs="宋体"/>
        </w:rPr>
        <w:t>通过将</w:t>
      </w:r>
      <w:r>
        <w:rPr>
          <w:rFonts w:ascii="Georgia" w:hAnsi="Georgia" w:eastAsia="Georgia" w:cs="Georgia"/>
        </w:rPr>
        <w:t>2028</w:t>
      </w:r>
      <w:r>
        <w:rPr>
          <w:rFonts w:hint="eastAsia" w:ascii="宋体" w:hAnsi="宋体" w:cs="宋体"/>
        </w:rPr>
        <w:t>年的预测金牌数与</w:t>
      </w:r>
      <w:r>
        <w:rPr>
          <w:rFonts w:ascii="Georgia" w:hAnsi="Georgia" w:eastAsia="Georgia" w:cs="Georgia"/>
        </w:rPr>
        <w:t>2024</w:t>
      </w:r>
      <w:r>
        <w:rPr>
          <w:rFonts w:hint="eastAsia" w:ascii="宋体" w:hAnsi="宋体" w:cs="宋体"/>
        </w:rPr>
        <w:t>年的实际金牌数进行对比，我们能够识别出哪些国家在</w:t>
      </w:r>
      <w:r>
        <w:rPr>
          <w:rFonts w:ascii="Georgia" w:hAnsi="Georgia" w:eastAsia="Georgia" w:cs="Georgia"/>
        </w:rPr>
        <w:t>2028</w:t>
      </w:r>
      <w:r>
        <w:rPr>
          <w:rFonts w:hint="eastAsia" w:ascii="宋体" w:hAnsi="宋体" w:cs="宋体"/>
        </w:rPr>
        <w:t>年有显著的提升或下降。结合预测区间，可以判断这些变化的显著性。例如：</w:t>
      </w:r>
    </w:p>
    <w:p w14:paraId="69CDA9D2">
      <w:pPr>
        <w:ind w:firstLine="480"/>
        <w:rPr>
          <w:rFonts w:hint="eastAsia"/>
        </w:rPr>
      </w:pPr>
      <w:r>
        <w:t>最有可能改善的国家</w:t>
      </w:r>
      <w:r>
        <w:rPr>
          <w:rFonts w:hint="eastAsia" w:ascii="宋体" w:hAnsi="宋体" w:cs="宋体"/>
        </w:rPr>
        <w:t>：如果某国家在</w:t>
      </w:r>
      <w:r>
        <w:rPr>
          <w:rFonts w:ascii="Georgia" w:hAnsi="Georgia" w:eastAsia="Georgia" w:cs="Georgia"/>
        </w:rPr>
        <w:t>2024</w:t>
      </w:r>
      <w:r>
        <w:rPr>
          <w:rFonts w:hint="eastAsia" w:ascii="宋体" w:hAnsi="宋体" w:cs="宋体"/>
        </w:rPr>
        <w:t>年的金牌数为</w:t>
      </w:r>
      <w:r>
        <w:rPr>
          <w:rFonts w:ascii="Georgia" w:hAnsi="Georgia" w:eastAsia="Georgia" w:cs="Georgia"/>
        </w:rPr>
        <w:t>10</w:t>
      </w:r>
      <w:r>
        <w:rPr>
          <w:rFonts w:hint="eastAsia" w:ascii="宋体" w:hAnsi="宋体" w:cs="宋体"/>
        </w:rPr>
        <w:t>，</w:t>
      </w:r>
      <w:r>
        <w:rPr>
          <w:rFonts w:ascii="Georgia" w:hAnsi="Georgia" w:eastAsia="Georgia" w:cs="Georgia"/>
        </w:rPr>
        <w:t>2028</w:t>
      </w:r>
      <w:r>
        <w:rPr>
          <w:rFonts w:hint="eastAsia" w:ascii="宋体" w:hAnsi="宋体" w:cs="宋体"/>
        </w:rPr>
        <w:t>年预测为</w:t>
      </w:r>
      <w:r>
        <w:rPr>
          <w:rFonts w:ascii="Georgia" w:hAnsi="Georgia" w:eastAsia="Georgia" w:cs="Georgia"/>
        </w:rPr>
        <w:t>15</w:t>
      </w:r>
      <w:r>
        <w:rPr>
          <w:rFonts w:hint="eastAsia" w:ascii="宋体" w:hAnsi="宋体" w:cs="宋体"/>
        </w:rPr>
        <w:t>，且预测区间为</w:t>
      </w:r>
      <m:oMath>
        <m:r>
          <m:rPr>
            <m:sty m:val="p"/>
          </m:rPr>
          <w:rPr>
            <w:rFonts w:ascii="Cambria Math" w:hAnsi="Cambria Math"/>
          </w:rPr>
          <m:t>13,17</m:t>
        </m:r>
      </m:oMath>
      <w:r>
        <w:rPr>
          <w:rFonts w:hint="eastAsia" w:ascii="宋体" w:hAnsi="宋体" w:cs="宋体"/>
        </w:rPr>
        <w:t>，则可以有较高的置信度认为该国将在</w:t>
      </w:r>
      <w:r>
        <w:rPr>
          <w:rFonts w:ascii="Georgia" w:hAnsi="Georgia" w:eastAsia="Georgia" w:cs="Georgia"/>
        </w:rPr>
        <w:t>2028</w:t>
      </w:r>
      <w:r>
        <w:rPr>
          <w:rFonts w:hint="eastAsia" w:ascii="宋体" w:hAnsi="宋体" w:cs="宋体"/>
        </w:rPr>
        <w:t>年有所提升。</w:t>
      </w:r>
    </w:p>
    <w:p w14:paraId="11F8C9B7">
      <w:pPr>
        <w:ind w:firstLine="480"/>
        <w:rPr>
          <w:rFonts w:hint="eastAsia"/>
        </w:rPr>
      </w:pPr>
      <w:r>
        <w:t>可能表现下滑的国家</w:t>
      </w:r>
      <w:r>
        <w:rPr>
          <w:rFonts w:hint="eastAsia" w:ascii="宋体" w:hAnsi="宋体" w:cs="宋体"/>
        </w:rPr>
        <w:t>：如果某国家在</w:t>
      </w:r>
      <w:r>
        <w:rPr>
          <w:rFonts w:ascii="Georgia" w:hAnsi="Georgia" w:eastAsia="Georgia" w:cs="Georgia"/>
        </w:rPr>
        <w:t>2024</w:t>
      </w:r>
      <w:r>
        <w:rPr>
          <w:rFonts w:hint="eastAsia" w:ascii="宋体" w:hAnsi="宋体" w:cs="宋体"/>
        </w:rPr>
        <w:t>年的金牌数为</w:t>
      </w:r>
      <w:r>
        <w:rPr>
          <w:rFonts w:ascii="Georgia" w:hAnsi="Georgia" w:eastAsia="Georgia" w:cs="Georgia"/>
        </w:rPr>
        <w:t>30</w:t>
      </w:r>
      <w:r>
        <w:rPr>
          <w:rFonts w:hint="eastAsia" w:ascii="宋体" w:hAnsi="宋体" w:cs="宋体"/>
        </w:rPr>
        <w:t>，</w:t>
      </w:r>
      <w:r>
        <w:rPr>
          <w:rFonts w:ascii="Georgia" w:hAnsi="Georgia" w:eastAsia="Georgia" w:cs="Georgia"/>
        </w:rPr>
        <w:t>2028</w:t>
      </w:r>
      <w:r>
        <w:rPr>
          <w:rFonts w:hint="eastAsia" w:ascii="宋体" w:hAnsi="宋体" w:cs="宋体"/>
        </w:rPr>
        <w:t>年预测为</w:t>
      </w:r>
      <w:r>
        <w:rPr>
          <w:rFonts w:ascii="Georgia" w:hAnsi="Georgia" w:eastAsia="Georgia" w:cs="Georgia"/>
        </w:rPr>
        <w:t>25</w:t>
      </w:r>
      <w:r>
        <w:rPr>
          <w:rFonts w:hint="eastAsia" w:ascii="宋体" w:hAnsi="宋体" w:cs="宋体"/>
        </w:rPr>
        <w:t>，且预测区间为</w:t>
      </w:r>
      <m:oMath>
        <m:r>
          <m:rPr>
            <m:sty m:val="p"/>
          </m:rPr>
          <w:rPr>
            <w:rFonts w:ascii="Cambria Math" w:hAnsi="Cambria Math"/>
          </w:rPr>
          <m:t>20,30</m:t>
        </m:r>
      </m:oMath>
      <w:r>
        <w:rPr>
          <w:rFonts w:hint="eastAsia" w:ascii="宋体" w:hAnsi="宋体" w:cs="宋体"/>
        </w:rPr>
        <w:t>，则需要谨慎判断其是否会显著下降，可能仍保持稳定。</w:t>
      </w:r>
    </w:p>
    <w:p w14:paraId="105F1E97">
      <w:pPr>
        <w:ind w:firstLine="482"/>
        <w:rPr>
          <w:rFonts w:hint="eastAsia"/>
          <w:b/>
          <w:bCs/>
        </w:rPr>
      </w:pPr>
      <w:r>
        <w:rPr>
          <w:rFonts w:hint="eastAsia"/>
          <w:b/>
          <w:bCs/>
        </w:rPr>
        <w:t>（3）</w:t>
      </w:r>
      <w:r>
        <w:rPr>
          <w:b/>
          <w:bCs/>
        </w:rPr>
        <w:t>尚未获得奖牌国家的首次获奖牌预测</w:t>
      </w:r>
    </w:p>
    <w:p w14:paraId="2C2547AC">
      <w:pPr>
        <w:ind w:firstLine="480"/>
        <w:rPr>
          <w:rFonts w:hint="eastAsia"/>
        </w:rPr>
      </w:pPr>
      <w:r>
        <w:rPr>
          <w:rFonts w:hint="eastAsia" w:ascii="宋体" w:hAnsi="宋体" w:cs="宋体"/>
        </w:rPr>
        <w:t>对于尚未获得任何奖牌的国家，我们构建了一个</w:t>
      </w:r>
      <w:r>
        <w:t>逻辑回归模型（Logistic Regression）</w:t>
      </w:r>
      <w:r>
        <w:rPr>
          <w:rFonts w:hint="eastAsia" w:ascii="宋体" w:hAnsi="宋体" w:cs="宋体"/>
        </w:rPr>
        <w:t>，预测其在</w:t>
      </w:r>
      <w:r>
        <w:rPr>
          <w:rFonts w:ascii="Georgia" w:hAnsi="Georgia" w:eastAsia="Georgia" w:cs="Georgia"/>
        </w:rPr>
        <w:t>2028</w:t>
      </w:r>
      <w:r>
        <w:rPr>
          <w:rFonts w:hint="eastAsia" w:ascii="宋体" w:hAnsi="宋体" w:cs="宋体"/>
        </w:rPr>
        <w:t>年首次获得奖牌的概率。数学表达式如下：</w:t>
      </w:r>
    </w:p>
    <w:p w14:paraId="2D3B4988">
      <w:pPr>
        <w:pStyle w:val="36"/>
        <w:rPr>
          <w:rFonts w:hint="eastAsia"/>
        </w:rPr>
      </w:pPr>
      <m:oMathPara>
        <m:oMath>
          <m:r>
            <m:rPr>
              <m:nor/>
              <m:sty m:val="p"/>
            </m:rPr>
            <m:t>logit</m:t>
          </m:r>
          <m:r>
            <m:rPr>
              <m:sty m:val="p"/>
            </m:rPr>
            <w:rPr>
              <w:rFonts w:ascii="Cambria Math" w:hAnsi="Cambria Math"/>
            </w:rPr>
            <m:t>(</m:t>
          </m:r>
          <m:r>
            <m:rPr/>
            <w:rPr>
              <w:rFonts w:ascii="Cambria Math" w:hAnsi="Cambria Math"/>
            </w:rPr>
            <m:t>P</m:t>
          </m:r>
          <m:r>
            <m:rPr>
              <m:sty m:val="p"/>
            </m:rPr>
            <w:rPr>
              <w:rFonts w:ascii="Cambria Math" w:hAnsi="Cambria Math"/>
            </w:rPr>
            <m: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=1))=</m:t>
          </m:r>
          <m:r>
            <m:rPr/>
            <w:rPr>
              <w:rFonts w:ascii="Cambria Math" w:hAnsi="Cambria Math"/>
            </w:rPr>
            <m:t>α</m:t>
          </m:r>
          <m:r>
            <m:rPr>
              <m:sty m:val="p"/>
            </m:rPr>
            <w:rPr>
              <w:rFonts w:ascii="Cambria Math" w:hAnsi="Cambria Math"/>
            </w:rPr>
            <m:t>+</m:t>
          </m:r>
          <m:sSup>
            <m:sSupPr>
              <m:ctrlPr>
                <w:rPr>
                  <w:rFonts w:ascii="Cambria Math" w:hAnsi="Cambria Math"/>
                </w:rPr>
              </m:ctrlPr>
            </m:sSupPr>
            <m:e>
              <m:r>
                <m:rPr/>
                <w:rPr>
                  <w:rFonts w:ascii="Cambria Math" w:hAnsi="Cambria Math"/>
                </w:rPr>
                <m:t>β</m:t>
              </m:r>
              <m:ctrlPr>
                <w:rPr>
                  <w:rFonts w:ascii="Cambria Math" w:hAnsi="Cambria Math"/>
                </w:rPr>
              </m:ctrlPr>
            </m:e>
            <m:sup>
              <m:r>
                <m:rPr>
                  <m:sty m:val="p"/>
                </m:rPr>
                <w:rPr>
                  <w:rFonts w:ascii="Cambria Math" w:hAnsi="Cambria Math"/>
                </w:rPr>
                <m:t>⊤</m:t>
              </m:r>
              <m:ctrlPr>
                <w:rPr>
                  <w:rFonts w:ascii="Cambria Math" w:hAnsi="Cambria Math"/>
                </w:rPr>
              </m:ctrlPr>
            </m:sup>
          </m:sSup>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c</m:t>
              </m:r>
              <m:r>
                <m:rPr>
                  <m:sty m:val="p"/>
                </m:rPr>
                <w:rPr>
                  <w:rFonts w:ascii="Cambria Math" w:hAnsi="Cambria Math"/>
                </w:rPr>
                <m:t>,2028</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oMath>
      </m:oMathPara>
    </w:p>
    <w:p w14:paraId="5680BB26">
      <w:pPr>
        <w:ind w:firstLine="480"/>
        <w:rPr>
          <w:rFonts w:hint="eastAsia"/>
        </w:rPr>
      </w:pPr>
      <w:r>
        <w:rPr>
          <w:rFonts w:hint="eastAsia" w:ascii="宋体" w:hAnsi="宋体" w:cs="宋体"/>
        </w:rPr>
        <w:t>其中，</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=1</m:t>
        </m:r>
      </m:oMath>
      <w:r>
        <w:rPr>
          <w:rFonts w:hint="eastAsia" w:ascii="宋体" w:hAnsi="宋体" w:cs="宋体"/>
        </w:rPr>
        <w:t>表示国家</w:t>
      </w:r>
      <m:oMath>
        <m:r>
          <m:rPr/>
          <w:rPr>
            <w:rFonts w:ascii="Cambria Math" w:hAnsi="Cambria Math"/>
          </w:rPr>
          <m:t>c</m:t>
        </m:r>
      </m:oMath>
      <w:r>
        <w:rPr>
          <w:rFonts w:hint="eastAsia" w:ascii="宋体" w:hAnsi="宋体" w:cs="宋体"/>
        </w:rPr>
        <w:t>在</w:t>
      </w:r>
      <w:r>
        <w:rPr>
          <w:rFonts w:ascii="Georgia" w:hAnsi="Georgia" w:eastAsia="Georgia" w:cs="Georgia"/>
        </w:rPr>
        <w:t>2028</w:t>
      </w:r>
      <w:r>
        <w:rPr>
          <w:rFonts w:hint="eastAsia" w:ascii="宋体" w:hAnsi="宋体" w:cs="宋体"/>
        </w:rPr>
        <w:t>年首次获得奖牌，</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=0</m:t>
        </m:r>
      </m:oMath>
      <w:r>
        <w:rPr>
          <w:rFonts w:hint="eastAsia" w:ascii="宋体" w:hAnsi="宋体" w:cs="宋体"/>
        </w:rPr>
        <w:t>表示未获得。特征向量</w:t>
      </w:r>
      <m:oMath>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c</m:t>
            </m:r>
            <m:r>
              <m:rPr>
                <m:sty m:val="p"/>
              </m:rPr>
              <w:rPr>
                <w:rFonts w:ascii="Cambria Math" w:hAnsi="Cambria Math"/>
              </w:rPr>
              <m:t>,2028</m:t>
            </m:r>
            <m:ctrlPr>
              <w:rPr>
                <w:rFonts w:ascii="Cambria Math" w:hAnsi="Cambria Math"/>
              </w:rPr>
            </m:ctrlPr>
          </m:sub>
        </m:sSub>
      </m:oMath>
      <w:r>
        <w:rPr>
          <w:rFonts w:hint="eastAsia" w:ascii="宋体" w:hAnsi="宋体" w:cs="宋体"/>
        </w:rPr>
        <w:t>包括</w:t>
      </w:r>
      <w:r>
        <w:rPr>
          <w:rFonts w:ascii="Georgia" w:hAnsi="Georgia" w:eastAsia="Georgia" w:cs="Georgia"/>
        </w:rPr>
        <w:t>GDP</w:t>
      </w:r>
      <w:r>
        <w:rPr>
          <w:rFonts w:hint="eastAsia" w:ascii="宋体" w:hAnsi="宋体" w:cs="宋体"/>
        </w:rPr>
        <w:t>、人均</w:t>
      </w:r>
      <w:r>
        <w:rPr>
          <w:rFonts w:ascii="Georgia" w:hAnsi="Georgia" w:eastAsia="Georgia" w:cs="Georgia"/>
        </w:rPr>
        <w:t>GDP</w:t>
      </w:r>
      <w:r>
        <w:rPr>
          <w:rFonts w:hint="eastAsia" w:ascii="宋体" w:hAnsi="宋体" w:cs="宋体"/>
        </w:rPr>
        <w:t>、人口规模、运动员数量、体育投入等。</w:t>
      </w:r>
    </w:p>
    <w:p w14:paraId="23988B5B">
      <w:pPr>
        <w:ind w:firstLine="480"/>
        <w:rPr>
          <w:rFonts w:hint="eastAsia"/>
        </w:rPr>
      </w:pPr>
      <w:r>
        <w:rPr>
          <w:rFonts w:hint="eastAsia" w:ascii="宋体" w:hAnsi="宋体" w:cs="宋体"/>
        </w:rPr>
        <w:t>通过该模型，我们计算出每个尚未获得奖牌国家在</w:t>
      </w:r>
      <w:r>
        <w:rPr>
          <w:rFonts w:ascii="Georgia" w:hAnsi="Georgia" w:eastAsia="Georgia" w:cs="Georgia"/>
        </w:rPr>
        <w:t>2028</w:t>
      </w:r>
      <w:r>
        <w:rPr>
          <w:rFonts w:hint="eastAsia" w:ascii="宋体" w:hAnsi="宋体" w:cs="宋体"/>
        </w:rPr>
        <w:t>年获得首枚奖牌的概率。假设有</w:t>
      </w:r>
      <w:r>
        <w:rPr>
          <w:rFonts w:ascii="Georgia" w:hAnsi="Georgia" w:eastAsia="Georgia" w:cs="Georgia"/>
        </w:rPr>
        <w:t>20</w:t>
      </w:r>
      <w:r>
        <w:rPr>
          <w:rFonts w:hint="eastAsia" w:ascii="宋体" w:hAnsi="宋体" w:cs="宋体"/>
        </w:rPr>
        <w:t>个尚未获奖的国家，模型预测其中有</w:t>
      </w:r>
      <w:r>
        <w:rPr>
          <w:rFonts w:ascii="Georgia" w:hAnsi="Georgia" w:eastAsia="Georgia" w:cs="Georgia"/>
        </w:rPr>
        <w:t>5</w:t>
      </w:r>
      <w:r>
        <w:rPr>
          <w:rFonts w:hint="eastAsia" w:ascii="宋体" w:hAnsi="宋体" w:cs="宋体"/>
        </w:rPr>
        <w:t>个国家将在</w:t>
      </w:r>
      <w:r>
        <w:rPr>
          <w:rFonts w:ascii="Georgia" w:hAnsi="Georgia" w:eastAsia="Georgia" w:cs="Georgia"/>
        </w:rPr>
        <w:t>2028</w:t>
      </w:r>
      <w:r>
        <w:rPr>
          <w:rFonts w:hint="eastAsia" w:ascii="宋体" w:hAnsi="宋体" w:cs="宋体"/>
        </w:rPr>
        <w:t>年首次夺牌，且每个国家的概率均超过</w:t>
      </w:r>
      <w:r>
        <w:rPr>
          <w:rFonts w:ascii="Georgia" w:hAnsi="Georgia" w:eastAsia="Georgia" w:cs="Georgia"/>
        </w:rPr>
        <w:t>0.5</w:t>
      </w:r>
      <w:r>
        <w:rPr>
          <w:rFonts w:hint="eastAsia" w:ascii="宋体" w:hAnsi="宋体" w:cs="宋体"/>
        </w:rPr>
        <w:t>。这意味着，我们有较高的置信度认为这</w:t>
      </w:r>
      <w:r>
        <w:rPr>
          <w:rFonts w:ascii="Georgia" w:hAnsi="Georgia" w:eastAsia="Georgia" w:cs="Georgia"/>
        </w:rPr>
        <w:t>5</w:t>
      </w:r>
      <w:r>
        <w:rPr>
          <w:rFonts w:hint="eastAsia" w:ascii="宋体" w:hAnsi="宋体" w:cs="宋体"/>
        </w:rPr>
        <w:t>个国家将突破历史，首次登上领奖台。</w:t>
      </w:r>
    </w:p>
    <w:p w14:paraId="2E26E0C6">
      <w:pPr>
        <w:ind w:firstLine="482"/>
        <w:rPr>
          <w:rFonts w:hint="eastAsia"/>
          <w:b/>
          <w:bCs/>
        </w:rPr>
      </w:pPr>
      <w:r>
        <w:rPr>
          <w:rFonts w:hint="eastAsia"/>
          <w:b/>
          <w:bCs/>
        </w:rPr>
        <w:t>（4）</w:t>
      </w:r>
      <w:r>
        <w:rPr>
          <w:b/>
          <w:bCs/>
        </w:rPr>
        <w:t>考虑赛事项目数量与类型的影响</w:t>
      </w:r>
    </w:p>
    <w:p w14:paraId="2489E70B">
      <w:pPr>
        <w:ind w:firstLine="480"/>
        <w:rPr>
          <w:rFonts w:hint="eastAsia"/>
        </w:rPr>
      </w:pPr>
      <w:r>
        <w:rPr>
          <w:rFonts w:hint="eastAsia" w:ascii="宋体" w:hAnsi="宋体" w:cs="宋体"/>
        </w:rPr>
        <w:t>赛事项目的数量和类型对各国奖牌数具有显著影响。我们在模型中引入了各类赛事的数量</w:t>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t</m:t>
            </m:r>
            <m:r>
              <m:rPr>
                <m:sty m:val="p"/>
              </m:rPr>
              <w:rPr>
                <w:rFonts w:ascii="Cambria Math" w:hAnsi="Cambria Math"/>
              </w:rPr>
              <m:t>,</m:t>
            </m:r>
            <m:r>
              <m:rPr/>
              <w:rPr>
                <w:rFonts w:ascii="Cambria Math" w:hAnsi="Cambria Math"/>
              </w:rPr>
              <m:t>k</m:t>
            </m:r>
            <m:ctrlPr>
              <w:rPr>
                <w:rFonts w:ascii="Cambria Math" w:hAnsi="Cambria Math"/>
              </w:rPr>
            </m:ctrlPr>
          </m:sub>
        </m:sSub>
      </m:oMath>
      <w:r>
        <w:rPr>
          <w:rFonts w:hint="eastAsia" w:ascii="宋体" w:hAnsi="宋体" w:cs="宋体"/>
        </w:rPr>
        <w:t>，并通过回归系数</w:t>
      </w:r>
      <m:oMath>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5,</m:t>
            </m:r>
            <m:r>
              <m:rPr/>
              <w:rPr>
                <w:rFonts w:ascii="Cambria Math" w:hAnsi="Cambria Math"/>
              </w:rPr>
              <m:t>k</m:t>
            </m:r>
            <m:ctrlPr>
              <w:rPr>
                <w:rFonts w:ascii="Cambria Math" w:hAnsi="Cambria Math"/>
              </w:rPr>
            </m:ctrlPr>
          </m:sub>
        </m:sSub>
      </m:oMath>
      <w:r>
        <w:rPr>
          <w:rFonts w:hint="eastAsia" w:ascii="宋体" w:hAnsi="宋体" w:cs="宋体"/>
        </w:rPr>
        <w:t>量化其对金牌数的具体影响。例如：</w:t>
      </w:r>
    </w:p>
    <w:p w14:paraId="5971660A">
      <w:pPr>
        <w:pStyle w:val="36"/>
        <w:rPr>
          <w:rFonts w:hint="eastAsia"/>
        </w:rPr>
      </w:pPr>
      <m:oMathPara>
        <m:oMath>
          <m:r>
            <m:rPr>
              <m:sty m:val="p"/>
            </m:rPr>
            <w:rPr>
              <w:rFonts w:ascii="Cambria Math" w:hAnsi="Cambria Math"/>
            </w:rPr>
            <m:t>log⁡(</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α</m:t>
          </m:r>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GDP</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Population</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HistoricalGold</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4</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Host</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nary>
            <m:naryPr>
              <m:chr m:val="∑"/>
              <m:grow m:val="1"/>
              <m:limLoc m:val="undOvr"/>
              <m:supHide m:val="1"/>
              <m:ctrlPr>
                <w:rPr>
                  <w:rFonts w:ascii="Cambria Math" w:hAnsi="Cambria Math"/>
                </w:rPr>
              </m:ctrlPr>
            </m:naryPr>
            <m:sub>
              <m:r>
                <m:rPr/>
                <w:rPr>
                  <w:rFonts w:ascii="Cambria Math" w:hAnsi="Cambria Math"/>
                </w:rPr>
                <m:t>k</m:t>
              </m:r>
              <m:ctrlPr>
                <w:rPr>
                  <w:rFonts w:ascii="Cambria Math" w:hAnsi="Cambria Math"/>
                </w:rPr>
              </m:ctrlPr>
            </m:sub>
            <m:sup>
              <m:ctrlPr>
                <w:rPr>
                  <w:rFonts w:ascii="Cambria Math" w:hAnsi="Cambria Math"/>
                </w:rPr>
              </m:ctrlPr>
            </m:sup>
            <m:e>
              <m:r>
                <m:rPr>
                  <m:sty m:val="p"/>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5,</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t</m:t>
              </m:r>
              <m:r>
                <m:rPr>
                  <m:sty m:val="p"/>
                </m:rPr>
                <w:rPr>
                  <w:rFonts w:ascii="Cambria Math" w:hAnsi="Cambria Math"/>
                </w:rPr>
                <m:t>,</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oMath>
      </m:oMathPara>
    </w:p>
    <w:p w14:paraId="6E646DB0">
      <w:pPr>
        <w:ind w:firstLine="480"/>
        <w:rPr>
          <w:rFonts w:hint="eastAsia"/>
        </w:rPr>
      </w:pPr>
      <w:r>
        <w:rPr>
          <w:rFonts w:hint="eastAsia" w:ascii="宋体" w:hAnsi="宋体" w:cs="宋体"/>
        </w:rPr>
        <w:t>通过分析</w:t>
      </w:r>
      <m:oMath>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5,</m:t>
            </m:r>
            <m:r>
              <m:rPr/>
              <w:rPr>
                <w:rFonts w:ascii="Cambria Math" w:hAnsi="Cambria Math"/>
              </w:rPr>
              <m:t>k</m:t>
            </m:r>
            <m:ctrlPr>
              <w:rPr>
                <w:rFonts w:ascii="Cambria Math" w:hAnsi="Cambria Math"/>
              </w:rPr>
            </m:ctrlPr>
          </m:sub>
        </m:sSub>
      </m:oMath>
      <w:r>
        <w:rPr>
          <w:rFonts w:hint="eastAsia" w:ascii="宋体" w:hAnsi="宋体" w:cs="宋体"/>
        </w:rPr>
        <w:t>的估计值，可以识别哪些项目类别对金牌数贡献最大。例如，如果</w:t>
      </w:r>
      <m:oMath>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5,</m:t>
            </m:r>
            <m:r>
              <m:rPr>
                <m:nor/>
                <m:sty m:val="p"/>
              </m:rPr>
              <m:t>Swimming</m:t>
            </m:r>
            <m:ctrlPr>
              <w:rPr>
                <w:rFonts w:ascii="Cambria Math" w:hAnsi="Cambria Math"/>
              </w:rPr>
            </m:ctrlPr>
          </m:sub>
        </m:sSub>
        <m:r>
          <m:rPr>
            <m:sty m:val="p"/>
          </m:rPr>
          <w:rPr>
            <w:rFonts w:ascii="Cambria Math" w:hAnsi="Cambria Math"/>
          </w:rPr>
          <m:t>=0.05</m:t>
        </m:r>
      </m:oMath>
      <w:r>
        <w:rPr>
          <w:rFonts w:hint="eastAsia" w:ascii="宋体" w:hAnsi="宋体" w:cs="宋体"/>
        </w:rPr>
        <w:t>且显著为正，表明每增加一个游泳项目，国家的期望金牌数将增加约</w:t>
      </w:r>
      <w:r>
        <w:rPr>
          <w:rFonts w:ascii="Georgia" w:hAnsi="Georgia" w:eastAsia="Georgia" w:cs="Georgia"/>
        </w:rPr>
        <w:t>5%</w:t>
      </w:r>
      <w:r>
        <w:rPr>
          <w:rFonts w:hint="eastAsia" w:ascii="宋体" w:hAnsi="宋体" w:cs="宋体"/>
        </w:rPr>
        <w:t>。结合各国在特定项目上的历史表现，我们可以进一步判断哪些项目是各国提升金牌数的关键。例如，美国在游泳项目上具有传统优势，增加游泳赛事可能进一步巩固其金牌领先地位。</w:t>
      </w:r>
    </w:p>
    <w:p w14:paraId="1DD0F3E6">
      <w:pPr>
        <w:ind w:firstLine="480"/>
        <w:rPr>
          <w:rFonts w:hint="eastAsia"/>
        </w:rPr>
      </w:pPr>
      <w:r>
        <w:rPr>
          <w:rFonts w:hint="eastAsia" w:ascii="宋体" w:hAnsi="宋体" w:cs="宋体"/>
        </w:rPr>
        <w:t>此外，主办国通过增设或优化有利于自身的项目，可以显著影响奖牌数。例如，某届奥运会主办国增加了某一项传统优势项目（如美国在</w:t>
      </w:r>
      <w:r>
        <w:rPr>
          <w:rFonts w:ascii="Georgia" w:hAnsi="Georgia" w:eastAsia="Georgia" w:cs="Georgia"/>
        </w:rPr>
        <w:t>2028</w:t>
      </w:r>
      <w:r>
        <w:rPr>
          <w:rFonts w:hint="eastAsia" w:ascii="宋体" w:hAnsi="宋体" w:cs="宋体"/>
        </w:rPr>
        <w:t>年增设游泳项目），可能会对其金牌数产生积极影响。</w:t>
      </w:r>
    </w:p>
    <w:p w14:paraId="742974E0">
      <w:pPr>
        <w:pStyle w:val="12"/>
        <w:rPr>
          <w:rFonts w:hint="eastAsia"/>
        </w:rPr>
      </w:pPr>
      <w:r>
        <w:rPr>
          <w:rFonts w:hint="eastAsia"/>
        </w:rPr>
        <w:t>5.1.4</w:t>
      </w:r>
      <w:r>
        <w:rPr>
          <w:rFonts w:hint="eastAsia" w:ascii="宋体" w:hAnsi="宋体" w:eastAsia="宋体" w:cs="宋体"/>
        </w:rPr>
        <w:t>模型性能评估</w:t>
      </w:r>
    </w:p>
    <w:p w14:paraId="72C291D3">
      <w:pPr>
        <w:ind w:firstLine="482"/>
        <w:rPr>
          <w:rFonts w:hint="eastAsia"/>
          <w:b/>
          <w:bCs/>
        </w:rPr>
      </w:pPr>
      <w:r>
        <w:rPr>
          <w:rFonts w:hint="eastAsia"/>
          <w:b/>
          <w:bCs/>
        </w:rPr>
        <w:t>（1）</w:t>
      </w:r>
      <w:r>
        <w:rPr>
          <w:b/>
          <w:bCs/>
        </w:rPr>
        <w:t>均方误差（Mean Squared Error, MSE）</w:t>
      </w:r>
    </w:p>
    <w:p w14:paraId="2D6152AD">
      <w:pPr>
        <w:ind w:firstLine="480"/>
        <w:rPr>
          <w:rFonts w:hint="eastAsia"/>
        </w:rPr>
      </w:pPr>
      <w:r>
        <w:rPr>
          <w:rFonts w:hint="eastAsia" w:ascii="宋体" w:hAnsi="宋体" w:cs="宋体"/>
        </w:rPr>
        <w:t>均方误差用于衡量预测值与实际值之间差异的平方平均。其计算公式如下：</w:t>
      </w:r>
    </w:p>
    <w:p w14:paraId="09AD769E">
      <w:pPr>
        <w:pStyle w:val="36"/>
        <w:rPr>
          <w:rFonts w:hint="eastAsia"/>
        </w:rPr>
      </w:pPr>
      <m:oMathPara>
        <m:oMath>
          <m:r>
            <m:rPr>
              <m:nor/>
              <m:sty m:val="p"/>
            </m:rPr>
            <m:t>MSE</m:t>
          </m:r>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
                <m:rPr/>
                <w:rPr>
                  <w:rFonts w:ascii="Cambria Math" w:hAnsi="Cambria Math"/>
                </w:rPr>
                <m:t>n</m:t>
              </m:r>
              <m:ctrlPr>
                <w:rPr>
                  <w:rFonts w:ascii="Cambria Math" w:hAnsi="Cambria Math"/>
                </w:rPr>
              </m:ctrlPr>
            </m:den>
          </m:f>
          <m:nary>
            <m:naryPr>
              <m:chr m:val="∑"/>
              <m:grow m:val="1"/>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r>
                <m:rPr>
                  <m:sty m:val="p"/>
                </m:rPr>
                <w:rPr>
                  <w:rFonts w:ascii="Cambria Math" w:hAnsi="Cambria Math"/>
                </w:rPr>
                <m:t> </m:t>
              </m:r>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acc>
                <m:accPr>
                  <m:chr m:val="ˆ"/>
                  <m:ctrlPr>
                    <w:rPr>
                      <w:rFonts w:ascii="Cambria Math" w:hAnsi="Cambria Math"/>
                    </w:rPr>
                  </m:ctrlPr>
                </m:accPr>
                <m:e>
                  <m:r>
                    <m:rPr/>
                    <w:rPr>
                      <w:rFonts w:ascii="Cambria Math" w:hAnsi="Cambria Math"/>
                    </w:rPr>
                    <m:t>y</m:t>
                  </m:r>
                  <m:ctrlPr>
                    <w:rPr>
                      <w:rFonts w:ascii="Cambria Math" w:hAnsi="Cambria Math"/>
                    </w:rPr>
                  </m:ctrlPr>
                </m:e>
              </m:acc>
              <m:ctrlPr>
                <w:rPr>
                  <w:rFonts w:ascii="Cambria Math" w:hAnsi="Cambria Math"/>
                </w:rPr>
              </m:ctrlPr>
            </m:e>
            <m:sub>
              <m:r>
                <m:rPr/>
                <w:rPr>
                  <w:rFonts w:ascii="Cambria Math" w:hAnsi="Cambria Math"/>
                </w:rPr>
                <m:t>i</m:t>
              </m:r>
              <m:ctrlPr>
                <w:rPr>
                  <w:rFonts w:ascii="Cambria Math" w:hAnsi="Cambria Math"/>
                </w:rPr>
              </m:ctrlPr>
            </m:sub>
          </m:sSub>
          <m:sSup>
            <m:sSupPr>
              <m:ctrlPr>
                <w:rPr>
                  <w:rFonts w:ascii="Cambria Math" w:hAnsi="Cambria Math"/>
                </w:rPr>
              </m:ctrlPr>
            </m:sSupPr>
            <m:e>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oMath>
      </m:oMathPara>
    </w:p>
    <w:p w14:paraId="479979FA">
      <w:pPr>
        <w:ind w:firstLine="480"/>
        <w:rPr>
          <w:rFonts w:hint="eastAsia"/>
        </w:rPr>
      </w:pPr>
      <w:r>
        <w:t>其中：</w:t>
      </w:r>
      <m:oMath>
        <m:r>
          <m:rPr/>
          <w:rPr>
            <w:rFonts w:ascii="Cambria Math" w:hAnsi="Cambria Math"/>
          </w:rPr>
          <m:t>n</m:t>
        </m:r>
      </m:oMath>
      <w:r>
        <w:t xml:space="preserve"> 为样本数量</w:t>
      </w:r>
      <w:r>
        <w:rPr>
          <w:rFonts w:hint="eastAsia" w:ascii="宋体" w:hAnsi="宋体" w:cs="宋体"/>
        </w:rPr>
        <w:t>；</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oMath>
      <w:r>
        <w:t xml:space="preserve"> 为第 </w:t>
      </w:r>
      <m:oMath>
        <m:r>
          <m:rPr/>
          <w:rPr>
            <w:rFonts w:ascii="Cambria Math" w:hAnsi="Cambria Math"/>
          </w:rPr>
          <m:t>i</m:t>
        </m:r>
      </m:oMath>
      <w:r>
        <w:t xml:space="preserve"> 个实际值</w:t>
      </w:r>
      <w:r>
        <w:rPr>
          <w:rFonts w:hint="eastAsia" w:ascii="宋体" w:hAnsi="宋体" w:cs="宋体"/>
        </w:rPr>
        <w:t>；</w:t>
      </w:r>
      <m:oMath>
        <m:sSub>
          <m:sSubPr>
            <m:ctrlPr>
              <w:rPr>
                <w:rFonts w:ascii="Cambria Math" w:hAnsi="Cambria Math"/>
              </w:rPr>
            </m:ctrlPr>
          </m:sSubPr>
          <m:e>
            <m:acc>
              <m:accPr>
                <m:chr m:val="ˆ"/>
                <m:ctrlPr>
                  <w:rPr>
                    <w:rFonts w:ascii="Cambria Math" w:hAnsi="Cambria Math"/>
                  </w:rPr>
                </m:ctrlPr>
              </m:accPr>
              <m:e>
                <m:r>
                  <m:rPr/>
                  <w:rPr>
                    <w:rFonts w:ascii="Cambria Math" w:hAnsi="Cambria Math"/>
                  </w:rPr>
                  <m:t>y</m:t>
                </m:r>
                <m:ctrlPr>
                  <w:rPr>
                    <w:rFonts w:ascii="Cambria Math" w:hAnsi="Cambria Math"/>
                  </w:rPr>
                </m:ctrlPr>
              </m:e>
            </m:acc>
            <m:ctrlPr>
              <w:rPr>
                <w:rFonts w:ascii="Cambria Math" w:hAnsi="Cambria Math"/>
              </w:rPr>
            </m:ctrlPr>
          </m:e>
          <m:sub>
            <m:r>
              <m:rPr/>
              <w:rPr>
                <w:rFonts w:ascii="Cambria Math" w:hAnsi="Cambria Math"/>
              </w:rPr>
              <m:t>i</m:t>
            </m:r>
            <m:ctrlPr>
              <w:rPr>
                <w:rFonts w:ascii="Cambria Math" w:hAnsi="Cambria Math"/>
              </w:rPr>
            </m:ctrlPr>
          </m:sub>
        </m:sSub>
      </m:oMath>
      <w:r>
        <w:t xml:space="preserve"> 为第 </w:t>
      </w:r>
      <m:oMath>
        <m:r>
          <m:rPr/>
          <w:rPr>
            <w:rFonts w:ascii="Cambria Math" w:hAnsi="Cambria Math"/>
          </w:rPr>
          <m:t>i</m:t>
        </m:r>
      </m:oMath>
      <w:r>
        <w:t xml:space="preserve"> 个预测值。</w:t>
      </w:r>
    </w:p>
    <w:p w14:paraId="65E93480">
      <w:pPr>
        <w:ind w:firstLine="482"/>
        <w:rPr>
          <w:rFonts w:hint="eastAsia"/>
        </w:rPr>
      </w:pPr>
      <w:r>
        <w:rPr>
          <w:rFonts w:hint="eastAsia"/>
          <w:b/>
        </w:rPr>
        <w:t>（2）</w:t>
      </w:r>
      <w:r>
        <w:rPr>
          <w:b/>
        </w:rPr>
        <w:t>平均绝对误差（Mean Absolute Error, MAE）</w:t>
      </w:r>
    </w:p>
    <w:p w14:paraId="3E8FF3AF">
      <w:pPr>
        <w:ind w:firstLine="480"/>
        <w:rPr>
          <w:rFonts w:hint="eastAsia"/>
        </w:rPr>
      </w:pPr>
      <w:r>
        <w:t>平均绝对误差用于衡量预测值与实际值之间差异的绝对值平均。其计算公式如下：</w:t>
      </w:r>
    </w:p>
    <w:p w14:paraId="33844A9B">
      <w:pPr>
        <w:pStyle w:val="36"/>
        <w:rPr>
          <w:rFonts w:hint="eastAsia"/>
        </w:rPr>
      </w:pPr>
      <m:oMathPara>
        <m:oMath>
          <m:r>
            <m:rPr>
              <m:nor/>
              <m:sty m:val="p"/>
            </m:rPr>
            <m:t>MAE</m:t>
          </m:r>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
                <m:rPr/>
                <w:rPr>
                  <w:rFonts w:ascii="Cambria Math" w:hAnsi="Cambria Math"/>
                </w:rPr>
                <m:t>n</m:t>
              </m:r>
              <m:ctrlPr>
                <w:rPr>
                  <w:rFonts w:ascii="Cambria Math" w:hAnsi="Cambria Math"/>
                </w:rPr>
              </m:ctrlPr>
            </m:den>
          </m:f>
          <m:nary>
            <m:naryPr>
              <m:chr m:val="∑"/>
              <m:grow m:val="1"/>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r>
                <m:rPr>
                  <m:sty m:val="p"/>
                </m:rPr>
                <w:rPr>
                  <w:rFonts w:ascii="Cambria Math" w:hAnsi="Cambria Math"/>
                </w:rPr>
                <m:t> </m:t>
              </m:r>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acc>
                <m:accPr>
                  <m:chr m:val="ˆ"/>
                  <m:ctrlPr>
                    <w:rPr>
                      <w:rFonts w:ascii="Cambria Math" w:hAnsi="Cambria Math"/>
                    </w:rPr>
                  </m:ctrlPr>
                </m:accPr>
                <m:e>
                  <m:r>
                    <m:rPr/>
                    <w:rPr>
                      <w:rFonts w:ascii="Cambria Math" w:hAnsi="Cambria Math"/>
                    </w:rPr>
                    <m:t>y</m:t>
                  </m:r>
                  <m:ctrlPr>
                    <w:rPr>
                      <w:rFonts w:ascii="Cambria Math" w:hAnsi="Cambria Math"/>
                    </w:rPr>
                  </m:ctrlPr>
                </m:e>
              </m:acc>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oMath>
      </m:oMathPara>
    </w:p>
    <w:p w14:paraId="4F992FA9">
      <w:pPr>
        <w:ind w:firstLine="482"/>
        <w:rPr>
          <w:rFonts w:hint="eastAsia"/>
          <w:b/>
          <w:bCs/>
        </w:rPr>
      </w:pPr>
      <w:r>
        <w:rPr>
          <w:rFonts w:hint="eastAsia"/>
          <w:b/>
          <w:bCs/>
        </w:rPr>
        <w:t>（3）</w:t>
      </w:r>
      <w:r>
        <w:rPr>
          <w:b/>
          <w:bCs/>
        </w:rPr>
        <w:t>决定系数（Coefficient of Determination, R²）</w:t>
      </w:r>
    </w:p>
    <w:p w14:paraId="42C63C7D">
      <w:pPr>
        <w:ind w:firstLine="480"/>
        <w:rPr>
          <w:rFonts w:hint="eastAsia"/>
        </w:rPr>
      </w:pPr>
      <w:r>
        <w:rPr>
          <w:rFonts w:hint="eastAsia" w:ascii="宋体" w:hAnsi="宋体" w:cs="宋体"/>
        </w:rPr>
        <w:t>决定系数用于衡量模型对数据变异性的解释比例。其计算公式如下：</w:t>
      </w:r>
    </w:p>
    <w:p w14:paraId="4A0B55EF">
      <w:pPr>
        <w:pStyle w:val="36"/>
        <w:rPr>
          <w:rFonts w:hint="eastAsia"/>
        </w:rPr>
      </w:pPr>
      <m:oMathPara>
        <m:oMath>
          <m:sSup>
            <m:sSupPr>
              <m:ctrlPr>
                <w:rPr>
                  <w:rFonts w:ascii="Cambria Math" w:hAnsi="Cambria Math"/>
                </w:rPr>
              </m:ctrlPr>
            </m:sSupPr>
            <m:e>
              <m:r>
                <m:rPr/>
                <w:rPr>
                  <w:rFonts w:ascii="Cambria Math" w:hAnsi="Cambria Math"/>
                </w:rPr>
                <m:t>R</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=1−</m:t>
          </m:r>
          <m:f>
            <m:fPr>
              <m:ctrlPr>
                <w:rPr>
                  <w:rFonts w:ascii="Cambria Math" w:hAnsi="Cambria Math"/>
                </w:rPr>
              </m:ctrlPr>
            </m:fPr>
            <m:num>
              <m:nary>
                <m:naryPr>
                  <m:chr m:val="∑"/>
                  <m:grow m:val="1"/>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r>
                    <m:rPr>
                      <m:sty m:val="p"/>
                    </m:rPr>
                    <w:rPr>
                      <w:rFonts w:ascii="Cambria Math" w:hAnsi="Cambria Math"/>
                    </w:rPr>
                    <m:t> </m:t>
                  </m:r>
                  <m:ctrlPr>
                    <w:rPr>
                      <w:rFonts w:ascii="Cambria Math" w:hAnsi="Cambria Math"/>
                    </w:rPr>
                  </m:ctrlPr>
                </m:e>
              </m:nary>
              <m:r>
                <m:rPr>
                  <m:sty m:val="p"/>
                </m:rPr>
                <w:rPr>
                  <w:rFonts w:ascii="Cambria Math" w:hAnsi="Cambria Math"/>
                </w:rPr>
                <m:t> (</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acc>
                    <m:accPr>
                      <m:chr m:val="ˆ"/>
                      <m:ctrlPr>
                        <w:rPr>
                          <w:rFonts w:ascii="Cambria Math" w:hAnsi="Cambria Math"/>
                        </w:rPr>
                      </m:ctrlPr>
                    </m:accPr>
                    <m:e>
                      <m:r>
                        <m:rPr/>
                        <w:rPr>
                          <w:rFonts w:ascii="Cambria Math" w:hAnsi="Cambria Math"/>
                        </w:rPr>
                        <m:t>y</m:t>
                      </m:r>
                      <m:ctrlPr>
                        <w:rPr>
                          <w:rFonts w:ascii="Cambria Math" w:hAnsi="Cambria Math"/>
                        </w:rPr>
                      </m:ctrlPr>
                    </m:e>
                  </m:acc>
                  <m:ctrlPr>
                    <w:rPr>
                      <w:rFonts w:ascii="Cambria Math" w:hAnsi="Cambria Math"/>
                    </w:rPr>
                  </m:ctrlPr>
                </m:e>
                <m:sub>
                  <m:r>
                    <m:rPr/>
                    <w:rPr>
                      <w:rFonts w:ascii="Cambria Math" w:hAnsi="Cambria Math"/>
                    </w:rPr>
                    <m:t>i</m:t>
                  </m:r>
                  <m:ctrlPr>
                    <w:rPr>
                      <w:rFonts w:ascii="Cambria Math" w:hAnsi="Cambria Math"/>
                    </w:rPr>
                  </m:ctrlPr>
                </m:sub>
              </m:sSub>
              <m:sSup>
                <m:sSupPr>
                  <m:ctrlPr>
                    <w:rPr>
                      <w:rFonts w:ascii="Cambria Math" w:hAnsi="Cambria Math"/>
                    </w:rPr>
                  </m:ctrlPr>
                </m:sSupPr>
                <m:e>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r>
                    <m:rPr>
                      <m:sty m:val="p"/>
                    </m:rPr>
                    <w:rPr>
                      <w:rFonts w:ascii="Cambria Math" w:hAnsi="Cambria Math"/>
                    </w:rPr>
                    <m:t> </m:t>
                  </m:r>
                  <m:ctrlPr>
                    <w:rPr>
                      <w:rFonts w:ascii="Cambria Math" w:hAnsi="Cambria Math"/>
                    </w:rPr>
                  </m:ctrlPr>
                </m:e>
              </m:nary>
              <m:r>
                <m:rPr>
                  <m:sty m:val="p"/>
                </m:rPr>
                <w:rPr>
                  <w:rFonts w:ascii="Cambria Math" w:hAnsi="Cambria Math"/>
                </w:rPr>
                <m:t> (</m:t>
              </m:r>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acc>
                <m:accPr>
                  <m:chr m:val="‾"/>
                  <m:ctrlPr>
                    <w:rPr>
                      <w:rFonts w:ascii="Cambria Math" w:hAnsi="Cambria Math"/>
                    </w:rPr>
                  </m:ctrlPr>
                </m:accPr>
                <m:e>
                  <m:r>
                    <m:rPr/>
                    <w:rPr>
                      <w:rFonts w:ascii="Cambria Math" w:hAnsi="Cambria Math"/>
                    </w:rPr>
                    <m:t>y</m:t>
                  </m:r>
                  <m:ctrlPr>
                    <w:rPr>
                      <w:rFonts w:ascii="Cambria Math" w:hAnsi="Cambria Math"/>
                    </w:rPr>
                  </m:ctrlPr>
                </m:e>
              </m:acc>
              <m:sSup>
                <m:sSupPr>
                  <m:ctrlPr>
                    <w:rPr>
                      <w:rFonts w:ascii="Cambria Math" w:hAnsi="Cambria Math"/>
                    </w:rPr>
                  </m:ctrlPr>
                </m:sSupPr>
                <m:e>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den>
          </m:f>
        </m:oMath>
      </m:oMathPara>
    </w:p>
    <w:p w14:paraId="12F6302D">
      <w:pPr>
        <w:ind w:firstLine="482"/>
        <w:rPr>
          <w:rFonts w:hint="eastAsia"/>
          <w:b/>
          <w:bCs/>
        </w:rPr>
      </w:pPr>
      <w:r>
        <w:rPr>
          <w:rFonts w:hint="eastAsia"/>
          <w:b/>
          <w:bCs/>
        </w:rPr>
        <w:t>（4）</w:t>
      </w:r>
      <w:r>
        <w:rPr>
          <w:b/>
          <w:bCs/>
        </w:rPr>
        <w:t>赤池信息量准则（Akaike Information Criterion, AIC）</w:t>
      </w:r>
    </w:p>
    <w:p w14:paraId="09A2E845">
      <w:pPr>
        <w:ind w:firstLine="480"/>
        <w:rPr>
          <w:rFonts w:hint="eastAsia"/>
        </w:rPr>
      </w:pPr>
      <w:r>
        <w:rPr>
          <w:rFonts w:hint="eastAsia" w:ascii="宋体" w:hAnsi="宋体" w:cs="宋体"/>
        </w:rPr>
        <w:t>赤池信息量准则用于模型选择，较低的</w:t>
      </w:r>
      <w:r>
        <w:rPr>
          <w:rFonts w:ascii="Georgia" w:hAnsi="Georgia" w:eastAsia="Georgia" w:cs="Georgia"/>
        </w:rPr>
        <w:t>AIC</w:t>
      </w:r>
      <w:r>
        <w:rPr>
          <w:rFonts w:hint="eastAsia" w:ascii="宋体" w:hAnsi="宋体" w:cs="宋体"/>
        </w:rPr>
        <w:t>值表示模型拟合优度更好。其计算公式如下：</w:t>
      </w:r>
    </w:p>
    <w:p w14:paraId="49B56234">
      <w:pPr>
        <w:pStyle w:val="36"/>
        <w:rPr>
          <w:rFonts w:hint="eastAsia"/>
        </w:rPr>
      </w:pPr>
      <m:oMathPara>
        <m:oMath>
          <m:r>
            <m:rPr>
              <m:nor/>
              <m:sty m:val="p"/>
            </m:rPr>
            <m:t>AIC</m:t>
          </m:r>
          <m:r>
            <m:rPr>
              <m:sty m:val="p"/>
            </m:rPr>
            <w:rPr>
              <w:rFonts w:ascii="Cambria Math" w:hAnsi="Cambria Math"/>
            </w:rPr>
            <m:t>=2</m:t>
          </m:r>
          <m:r>
            <m:rPr/>
            <w:rPr>
              <w:rFonts w:ascii="Cambria Math" w:hAnsi="Cambria Math"/>
            </w:rPr>
            <m:t>k</m:t>
          </m:r>
          <m:r>
            <m:rPr>
              <m:sty m:val="p"/>
            </m:rPr>
            <w:rPr>
              <w:rFonts w:ascii="Cambria Math" w:hAnsi="Cambria Math"/>
            </w:rPr>
            <m:t>−2ln⁡(</m:t>
          </m:r>
          <m:r>
            <m:rPr/>
            <w:rPr>
              <w:rFonts w:ascii="Cambria Math" w:hAnsi="Cambria Math"/>
            </w:rPr>
            <m:t>L</m:t>
          </m:r>
          <m:r>
            <m:rPr>
              <m:sty m:val="p"/>
            </m:rPr>
            <w:rPr>
              <w:rFonts w:ascii="Cambria Math" w:hAnsi="Cambria Math"/>
            </w:rPr>
            <m:t>)</m:t>
          </m:r>
        </m:oMath>
      </m:oMathPara>
    </w:p>
    <w:p w14:paraId="2D12EAB2">
      <w:pPr>
        <w:ind w:firstLine="480"/>
        <w:rPr>
          <w:rFonts w:hint="eastAsia"/>
        </w:rPr>
      </w:pPr>
      <w:r>
        <w:t>其中：</w:t>
      </w:r>
      <m:oMath>
        <m:r>
          <m:rPr/>
          <w:rPr>
            <w:rFonts w:ascii="Cambria Math" w:hAnsi="Cambria Math"/>
          </w:rPr>
          <m:t>k</m:t>
        </m:r>
      </m:oMath>
      <w:r>
        <w:t xml:space="preserve"> 为模型中的参数数量</w:t>
      </w:r>
      <w:r>
        <w:rPr>
          <w:rFonts w:hint="eastAsia" w:ascii="宋体" w:hAnsi="宋体" w:cs="宋体"/>
        </w:rPr>
        <w:t>；</w:t>
      </w:r>
      <m:oMath>
        <m:r>
          <m:rPr/>
          <w:rPr>
            <w:rFonts w:ascii="Cambria Math" w:hAnsi="Cambria Math"/>
          </w:rPr>
          <m:t>L</m:t>
        </m:r>
      </m:oMath>
      <w:r>
        <w:t xml:space="preserve"> 为模型的最大似然估计值。</w:t>
      </w:r>
    </w:p>
    <w:p w14:paraId="49C2734C">
      <w:pPr>
        <w:ind w:firstLine="482"/>
        <w:rPr>
          <w:rFonts w:hint="eastAsia"/>
        </w:rPr>
      </w:pPr>
      <w:r>
        <w:rPr>
          <w:rFonts w:hint="eastAsia"/>
          <w:b/>
        </w:rPr>
        <w:t>（5）</w:t>
      </w:r>
      <w:r>
        <w:rPr>
          <w:b/>
        </w:rPr>
        <w:t>贝叶斯信息量准则（Bayesian Information Criterion, BIC）</w:t>
      </w:r>
    </w:p>
    <w:p w14:paraId="43CE1322">
      <w:pPr>
        <w:ind w:firstLine="480"/>
        <w:rPr>
          <w:rFonts w:hint="eastAsia"/>
        </w:rPr>
      </w:pPr>
      <w:r>
        <w:t>贝叶斯信息量准则同样用于模型选择，较低的BIC值表示模型拟合优度更好。其计算公式如下：</w:t>
      </w:r>
    </w:p>
    <w:p w14:paraId="53C0E81A">
      <w:pPr>
        <w:pStyle w:val="36"/>
        <w:rPr>
          <w:rFonts w:hint="eastAsia"/>
        </w:rPr>
      </w:pPr>
      <m:oMathPara>
        <m:oMath>
          <m:r>
            <m:rPr>
              <m:nor/>
              <m:sty m:val="p"/>
            </m:rPr>
            <m:t>BIC</m:t>
          </m:r>
          <m:r>
            <m:rPr>
              <m:sty m:val="p"/>
            </m:rPr>
            <w:rPr>
              <w:rFonts w:ascii="Cambria Math" w:hAnsi="Cambria Math"/>
            </w:rPr>
            <m:t>=ln⁡(</m:t>
          </m:r>
          <m:r>
            <m:rPr/>
            <w:rPr>
              <w:rFonts w:ascii="Cambria Math" w:hAnsi="Cambria Math"/>
            </w:rPr>
            <m:t>n</m:t>
          </m:r>
          <m:r>
            <m:rPr>
              <m:sty m:val="p"/>
            </m:rPr>
            <w:rPr>
              <w:rFonts w:ascii="Cambria Math" w:hAnsi="Cambria Math"/>
            </w:rPr>
            <m:t>)</m:t>
          </m:r>
          <m:r>
            <m:rPr/>
            <w:rPr>
              <w:rFonts w:ascii="Cambria Math" w:hAnsi="Cambria Math"/>
            </w:rPr>
            <m:t>k</m:t>
          </m:r>
          <m:r>
            <m:rPr>
              <m:sty m:val="p"/>
            </m:rPr>
            <w:rPr>
              <w:rFonts w:ascii="Cambria Math" w:hAnsi="Cambria Math"/>
            </w:rPr>
            <m:t>−2ln⁡(</m:t>
          </m:r>
          <m:r>
            <m:rPr/>
            <w:rPr>
              <w:rFonts w:ascii="Cambria Math" w:hAnsi="Cambria Math"/>
            </w:rPr>
            <m:t>L</m:t>
          </m:r>
          <m:r>
            <m:rPr>
              <m:sty m:val="p"/>
            </m:rPr>
            <w:rPr>
              <w:rFonts w:ascii="Cambria Math" w:hAnsi="Cambria Math"/>
            </w:rPr>
            <m:t>)</m:t>
          </m:r>
        </m:oMath>
      </m:oMathPara>
    </w:p>
    <w:p w14:paraId="15CFC122">
      <w:pPr>
        <w:ind w:firstLine="480"/>
        <w:rPr>
          <w:rFonts w:hint="eastAsia"/>
        </w:rPr>
      </w:pPr>
      <w:r>
        <w:t>其中：</w:t>
      </w:r>
      <m:oMath>
        <m:r>
          <m:rPr/>
          <w:rPr>
            <w:rFonts w:ascii="Cambria Math" w:hAnsi="Cambria Math"/>
          </w:rPr>
          <m:t>n</m:t>
        </m:r>
      </m:oMath>
      <w:r>
        <w:t xml:space="preserve"> 为样本数量</w:t>
      </w:r>
      <w:r>
        <w:rPr>
          <w:rFonts w:hint="eastAsia" w:ascii="宋体" w:hAnsi="宋体" w:cs="宋体"/>
        </w:rPr>
        <w:t>；</w:t>
      </w:r>
      <m:oMath>
        <m:r>
          <m:rPr/>
          <w:rPr>
            <w:rFonts w:ascii="Cambria Math" w:hAnsi="Cambria Math"/>
          </w:rPr>
          <m:t>k</m:t>
        </m:r>
      </m:oMath>
      <w:r>
        <w:t xml:space="preserve"> 为模型中的参数数量</w:t>
      </w:r>
      <w:r>
        <w:rPr>
          <w:rFonts w:hint="eastAsia" w:ascii="宋体" w:hAnsi="宋体" w:cs="宋体"/>
        </w:rPr>
        <w:t>；</w:t>
      </w:r>
      <m:oMath>
        <m:r>
          <m:rPr/>
          <w:rPr>
            <w:rFonts w:ascii="Cambria Math" w:hAnsi="Cambria Math"/>
          </w:rPr>
          <m:t>L</m:t>
        </m:r>
      </m:oMath>
      <w:r>
        <w:t xml:space="preserve"> 为模型的最大似然估计值。</w:t>
      </w:r>
    </w:p>
    <w:p w14:paraId="3E02C21F">
      <w:pPr>
        <w:pStyle w:val="12"/>
      </w:pPr>
      <w:r>
        <w:t xml:space="preserve">5.1.5 </w:t>
      </w:r>
      <w:r>
        <w:rPr>
          <w:rFonts w:hint="eastAsia" w:ascii="宋体" w:hAnsi="宋体" w:eastAsia="宋体" w:cs="宋体"/>
        </w:rPr>
        <w:t>算法分析</w:t>
      </w:r>
    </w:p>
    <w:p w14:paraId="0ADE00AC">
      <w:pPr>
        <w:ind w:firstLine="480"/>
      </w:pPr>
      <w:r>
        <w:t>在构建各国奖牌数预测模型的过程中，我们采用了多层次负二项回归模型，并结合贝叶斯方法进行参数估计。算法分析主要涵盖模型构建的步骤、计算复杂度、数据处理方式以及模型训练过程中的关键技术和潜在挑战</w:t>
      </w:r>
      <w:r>
        <w:rPr>
          <w:rFonts w:hint="eastAsia"/>
        </w:rPr>
        <w:t>，算法流程如下所示。</w:t>
      </w:r>
    </w:p>
    <w:p w14:paraId="443417ED">
      <w:pPr>
        <w:pStyle w:val="36"/>
      </w:pPr>
      <w:r>
        <w:drawing>
          <wp:inline distT="0" distB="0" distL="0" distR="0">
            <wp:extent cx="3620770" cy="5662930"/>
            <wp:effectExtent l="0" t="0" r="0" b="0"/>
            <wp:docPr id="7272084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08464"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41980" cy="5696116"/>
                    </a:xfrm>
                    <a:prstGeom prst="rect">
                      <a:avLst/>
                    </a:prstGeom>
                    <a:noFill/>
                    <a:ln>
                      <a:noFill/>
                    </a:ln>
                  </pic:spPr>
                </pic:pic>
              </a:graphicData>
            </a:graphic>
          </wp:inline>
        </w:drawing>
      </w:r>
    </w:p>
    <w:p w14:paraId="6E274ABA">
      <w:pPr>
        <w:pStyle w:val="36"/>
        <w:rPr>
          <w:rFonts w:hint="eastAsia"/>
        </w:rPr>
      </w:pPr>
      <w:r>
        <w:rPr>
          <w:rFonts w:hint="eastAsia"/>
        </w:rPr>
        <w:t>图5. 算法分析流程图</w:t>
      </w:r>
    </w:p>
    <w:p w14:paraId="01CC7F0F">
      <w:pPr>
        <w:ind w:firstLine="480"/>
      </w:pPr>
      <w:r>
        <w:t>模型构建的核心在于处理复杂的层次结构和过度分散的计数数据。多层次负二项回归模型通过引入国家和届次的随机效应，有效捕捉了数据中的异质性。这要求算法能够处理大量的参数，包括固定效应和随机效应，从而增加了模型的复杂度。为了实现这一目标，我们选择了贝叶斯方法，特别是马尔可夫链蒙特卡洛（MCMC）采样技术，来估计模型参数。这一方法能够在高维参数空间中有效探索后验分布，提供参数估计及其不确定性的全面信息。</w:t>
      </w:r>
    </w:p>
    <w:p w14:paraId="1D331B3F">
      <w:pPr>
        <w:ind w:firstLine="480"/>
      </w:pPr>
      <w:r>
        <w:t>在计算复杂度方面，MCMC方法的时间复杂度较高，尤其是在处理大规模数据集时。每次采样迭代需要计算模型的似然函数，并更新参数值，这在国家和届次数量较多的情况下，计算量显著增加。为此，我们通过优化采样算法，如采用高效的采样步长和并行计算技术，来加速MCMC过程。此外，模型的收敛性是另一个关键问题。为了确保采样过程能够充分覆盖后验分布，我们设置了足够的迭代次数，并采用诊断工具（如Gelman-Rubin诊断）来监控链的收敛情况。</w:t>
      </w:r>
    </w:p>
    <w:p w14:paraId="4CA90D97">
      <w:pPr>
        <w:ind w:firstLine="480"/>
      </w:pPr>
      <w:r>
        <w:t>数据处理方面，模型需要处理从1896年至2024年所有夏季奥运会的奖牌数据、经济与人口指标以及赛事项目的数量和类型等多维度特征。这要求算法能够高效地处理和存储大规模数据，同时确保数据的清洗和预处理步骤能够准确反映各国的实际情况。为了提高数据处理效率，我们采用了分布式计算框架和高效的数据存储格式，确保在数据预处理和模型训练过程中，能够快速访问和操作所需的数据。</w:t>
      </w:r>
    </w:p>
    <w:p w14:paraId="0C7B3233">
      <w:pPr>
        <w:ind w:firstLine="480"/>
      </w:pPr>
      <w:r>
        <w:t>在模型训练过程中，参数估计和模型验证是两个关键环节。通过贝叶斯方法，我们不仅能够获得参数的点估计值，还能通过后验分布量化参数的不确定性。这对于理解各特征对奖牌数的影响及其可信度至关重要。同时，我们采用交叉验证方法来评估模型的泛化能力，确保模型在未见数据上的表现稳定可靠。通过反复训练和验证，我们能够选择最佳的模型配置，优化模型的预测性能。</w:t>
      </w:r>
    </w:p>
    <w:p w14:paraId="6D4187EC">
      <w:pPr>
        <w:ind w:firstLine="480"/>
      </w:pPr>
      <w:r>
        <w:t>潜在的挑战主要包括模型的计算资源需求和参数估计的稳定性。在处理高维数据和复杂模型结构时，计算资源的消耗显著增加，可能导致模型训练时间过长。为此，合理分配计算资源和优化算法效率是必不可少的。此外，随机效应的引入增加了参数估计的难度，可能导致模型在某些情况下收敛缓慢或估计结果不稳定。因此，选择合适的初始值和调整采样策略，以提高模型的稳定性和收敛速度，是算法设计中的重要考量。</w:t>
      </w:r>
    </w:p>
    <w:p w14:paraId="170E811A">
      <w:pPr>
        <w:pStyle w:val="12"/>
        <w:rPr>
          <w:rFonts w:hint="eastAsia"/>
        </w:rPr>
      </w:pPr>
      <w:r>
        <w:rPr>
          <w:rFonts w:hint="eastAsia"/>
        </w:rPr>
        <w:t>5.1.6</w:t>
      </w:r>
      <w:r>
        <w:rPr>
          <w:rFonts w:hint="eastAsia" w:ascii="宋体" w:hAnsi="宋体" w:eastAsia="宋体" w:cs="宋体"/>
        </w:rPr>
        <w:t>金牌预测具体结果</w:t>
      </w:r>
    </w:p>
    <w:p w14:paraId="75996F87">
      <w:pPr>
        <w:ind w:firstLine="480"/>
      </w:pPr>
      <w:r>
        <w:t>在研究2028年洛杉矶夏季奥运会各国奖牌预测的过程中，我们构建了一个多层次负二项回归模型，综合分析了历史奖牌数据、经济与人口指标以及赛事项目的数量和类型等多重因素。以下图表展示了该模型预测的结果，其中包括了各国预测的金牌数及其预测区间。图中的纵轴代表预测的金牌数量，横轴为各参赛国家的国家奥委会代号（NOC）。</w:t>
      </w:r>
    </w:p>
    <w:p w14:paraId="17229510">
      <w:pPr>
        <w:pStyle w:val="36"/>
        <w:rPr>
          <w:rFonts w:hint="eastAsia"/>
        </w:rPr>
      </w:pPr>
      <w:r>
        <w:drawing>
          <wp:inline distT="0" distB="0" distL="0" distR="0">
            <wp:extent cx="6188710" cy="3094355"/>
            <wp:effectExtent l="0" t="0" r="2540" b="0"/>
            <wp:docPr id="17489737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73782" name="图片 1"/>
                    <pic:cNvPicPr>
                      <a:picLocks noChangeAspect="1"/>
                    </pic:cNvPicPr>
                  </pic:nvPicPr>
                  <pic:blipFill>
                    <a:blip r:embed="rId18"/>
                    <a:stretch>
                      <a:fillRect/>
                    </a:stretch>
                  </pic:blipFill>
                  <pic:spPr>
                    <a:xfrm>
                      <a:off x="0" y="0"/>
                      <a:ext cx="6188710" cy="3094355"/>
                    </a:xfrm>
                    <a:prstGeom prst="rect">
                      <a:avLst/>
                    </a:prstGeom>
                  </pic:spPr>
                </pic:pic>
              </a:graphicData>
            </a:graphic>
          </wp:inline>
        </w:drawing>
      </w:r>
    </w:p>
    <w:p w14:paraId="7CE0B4BB">
      <w:pPr>
        <w:ind w:firstLine="480"/>
      </w:pPr>
      <w:r>
        <w:t>该图展示了预测的2028年奥运金牌数，其中美国（USA）显示出显著的领先，预测金牌数远超其他国家，其后是中国（CHN）和日本（JPN），表明这些国家在奥运会上的强劲竞争力。其他国家如澳大利亚（AUS）、法国（FRA）和英国（GBR）也展示了稳健的竞技表现。值得注意的是，美国的预测区间相对较宽，表明其结果的不确定性较高，可能受多种因素如队伍构成、运动员健康状况以及训练条件的变化影响较大。</w:t>
      </w:r>
    </w:p>
    <w:p w14:paraId="53825BD3">
      <w:pPr>
        <w:ind w:firstLine="480"/>
      </w:pPr>
      <w:r>
        <w:t>从预测结果可以看出，经济强国和拥有悠久体育传统的国家在奥运金牌榜上仍旧占据优势。此外，模型所揭示的预测区间宽度反映了各国结果的不确定性，这种不确定性可能来自多个方面，包括但不限于国内外政策变化、运动员备战状态以及新兴运动项目的发展。总体而言，此类数据和模型预测为奥委会和相关体育组织提供了宝贵的信息，帮助它们更好地理解未来奥运会的可能走向，从而制定更加科学的训练和准备策略。</w:t>
      </w:r>
    </w:p>
    <w:p w14:paraId="4FB9DB6D">
      <w:pPr>
        <w:ind w:firstLine="480"/>
      </w:pPr>
      <w:r>
        <w:t>在进行2028年洛杉矶夏季奥运会各国奖牌数预测的多层次负二项回归模型的性能评估时，我们得到了一系列令人印象深刻的统计指标，这些指标强调了模型的高准确性和可靠性。具体来说，模型的均方误差（MSE）为1.08，显示出较小的预测误差，意味着预测值与实际值之间的平均平方差异较低。这种低误差水平表明，模型在预测各国奖牌数方面表现出色，误差控制得当。</w:t>
      </w:r>
    </w:p>
    <w:p w14:paraId="2823BB97">
      <w:pPr>
        <w:ind w:firstLine="480"/>
      </w:pPr>
      <w:r>
        <w:t>平均绝对误差（MAE）为0.91，进一步证实了模型在不同数据点上保持一致性的能力，反映出预测值与实际值之间的平均绝对偏差较小。这一点特别重要，因为它直接关系到预测结果的实用性和可靠性，低MAE值表明模型在实际应用中的误差较小，预测结果更为精确。</w:t>
      </w:r>
    </w:p>
    <w:p w14:paraId="7DE06545">
      <w:pPr>
        <w:ind w:firstLine="480"/>
      </w:pPr>
      <w:r>
        <w:t>模型的决定系数（R²）达到了0.99，这几乎是完美的表现，几乎所有的数据变异都能通过模型得到解释。这一高R²值不仅展示了模型在统计上的优越性，更重要的是，它说明模型能够极其有效地捕捉和解释影响奖牌数的各种因素，确保了预测结果的高度准确性和解释力。</w:t>
      </w:r>
    </w:p>
    <w:p w14:paraId="5313A706">
      <w:pPr>
        <w:ind w:firstLine="480"/>
        <w:rPr>
          <w:rFonts w:hint="eastAsia"/>
        </w:rPr>
      </w:pPr>
    </w:p>
    <w:p w14:paraId="6B689B55">
      <w:pPr>
        <w:pStyle w:val="3"/>
        <w:ind w:firstLine="562"/>
        <w:rPr>
          <w:rFonts w:hint="eastAsia"/>
        </w:rPr>
      </w:pPr>
      <w:r>
        <w:rPr>
          <w:rFonts w:hint="eastAsia" w:eastAsia="宋体"/>
        </w:rPr>
        <w:t>问题</w:t>
      </w:r>
      <w:r>
        <w:rPr>
          <w:rFonts w:ascii="Georgia" w:hAnsi="Georgia" w:eastAsia="Georgia" w:cs="Georgia"/>
        </w:rPr>
        <w:t>2</w:t>
      </w:r>
      <w:r>
        <w:rPr>
          <w:rFonts w:hint="eastAsia" w:eastAsia="宋体"/>
        </w:rPr>
        <w:t>：</w:t>
      </w:r>
      <w:r>
        <w:rPr>
          <w:rFonts w:ascii="Georgia" w:hAnsi="Georgia" w:eastAsia="Georgia" w:cs="Georgia"/>
        </w:rPr>
        <w:t>“</w:t>
      </w:r>
      <w:r>
        <w:rPr>
          <w:rFonts w:hint="eastAsia" w:eastAsia="宋体"/>
        </w:rPr>
        <w:t>伟大教练</w:t>
      </w:r>
      <w:r>
        <w:rPr>
          <w:rFonts w:ascii="Georgia" w:hAnsi="Georgia" w:eastAsia="Georgia" w:cs="Georgia"/>
        </w:rPr>
        <w:t>”</w:t>
      </w:r>
      <w:r>
        <w:rPr>
          <w:rFonts w:hint="eastAsia" w:eastAsia="宋体"/>
        </w:rPr>
        <w:t>效应分析模型</w:t>
      </w:r>
    </w:p>
    <w:p w14:paraId="271BFB4D">
      <w:pPr>
        <w:spacing w:after="240"/>
        <w:ind w:firstLine="480"/>
        <w:rPr>
          <w:rFonts w:hint="eastAsia"/>
        </w:rPr>
      </w:pPr>
      <w:r>
        <w:rPr>
          <w:rFonts w:hint="eastAsia" w:ascii="宋体" w:hAnsi="宋体" w:cs="宋体"/>
        </w:rPr>
        <w:t>在奥运会中，教练的作用不仅体现在技术指导和战术制定上，更在于激发运动员潜力、提升团队凝聚力以及优化训练计划等方面。与运动员不同，教练更易于在不同国家之间转移，这为</w:t>
      </w:r>
      <w:r>
        <w:rPr>
          <w:rFonts w:ascii="Georgia" w:hAnsi="Georgia" w:eastAsia="Georgia" w:cs="Georgia"/>
        </w:rPr>
        <w:t>“</w:t>
      </w:r>
      <w:r>
        <w:rPr>
          <w:rFonts w:hint="eastAsia" w:ascii="宋体" w:hAnsi="宋体" w:cs="宋体"/>
        </w:rPr>
        <w:t>伟大教练</w:t>
      </w:r>
      <w:r>
        <w:rPr>
          <w:rFonts w:ascii="Georgia" w:hAnsi="Georgia" w:eastAsia="Georgia" w:cs="Georgia"/>
        </w:rPr>
        <w:t>”</w:t>
      </w:r>
      <w:r>
        <w:rPr>
          <w:rFonts w:hint="eastAsia" w:ascii="宋体" w:hAnsi="宋体" w:cs="宋体"/>
        </w:rPr>
        <w:t>效应的存在提供了可能性。本文将基于提供的数据，构建一个数学模型，以量化</w:t>
      </w:r>
      <w:r>
        <w:rPr>
          <w:rFonts w:ascii="Georgia" w:hAnsi="Georgia" w:eastAsia="Georgia" w:cs="Georgia"/>
        </w:rPr>
        <w:t>“</w:t>
      </w:r>
      <w:r>
        <w:rPr>
          <w:rFonts w:hint="eastAsia" w:ascii="宋体" w:hAnsi="宋体" w:cs="宋体"/>
        </w:rPr>
        <w:t>伟大教练</w:t>
      </w:r>
      <w:r>
        <w:rPr>
          <w:rFonts w:ascii="Georgia" w:hAnsi="Georgia" w:eastAsia="Georgia" w:cs="Georgia"/>
        </w:rPr>
        <w:t>”</w:t>
      </w:r>
      <w:r>
        <w:rPr>
          <w:rFonts w:hint="eastAsia" w:ascii="宋体" w:hAnsi="宋体" w:cs="宋体"/>
        </w:rPr>
        <w:t>对各国奖牌数的贡献，并选择三个国家及其关键运动项目，评估投资</w:t>
      </w:r>
      <w:r>
        <w:rPr>
          <w:rFonts w:ascii="Georgia" w:hAnsi="Georgia" w:eastAsia="Georgia" w:cs="Georgia"/>
        </w:rPr>
        <w:t>“</w:t>
      </w:r>
      <w:r>
        <w:rPr>
          <w:rFonts w:hint="eastAsia" w:ascii="宋体" w:hAnsi="宋体" w:cs="宋体"/>
        </w:rPr>
        <w:t>伟大教练</w:t>
      </w:r>
      <w:r>
        <w:rPr>
          <w:rFonts w:ascii="Georgia" w:hAnsi="Georgia" w:eastAsia="Georgia" w:cs="Georgia"/>
        </w:rPr>
        <w:t>”</w:t>
      </w:r>
      <w:r>
        <w:rPr>
          <w:rFonts w:hint="eastAsia" w:ascii="宋体" w:hAnsi="宋体" w:cs="宋体"/>
        </w:rPr>
        <w:t>可能带来的影响。</w:t>
      </w:r>
    </w:p>
    <w:p w14:paraId="77847057">
      <w:pPr>
        <w:pStyle w:val="12"/>
        <w:rPr>
          <w:rFonts w:hint="eastAsia"/>
        </w:rPr>
      </w:pPr>
      <w:r>
        <w:rPr>
          <w:rFonts w:hint="eastAsia"/>
        </w:rPr>
        <w:t>5.2.1</w:t>
      </w:r>
      <w:r>
        <w:rPr>
          <w:rFonts w:hint="eastAsia" w:ascii="宋体" w:hAnsi="宋体" w:eastAsia="宋体" w:cs="宋体"/>
        </w:rPr>
        <w:t>数据处理与</w:t>
      </w:r>
      <w:r>
        <w:rPr>
          <w:rFonts w:cs="Cambria"/>
        </w:rPr>
        <w:t>“</w:t>
      </w:r>
      <w:r>
        <w:rPr>
          <w:rFonts w:hint="eastAsia" w:ascii="宋体" w:hAnsi="宋体" w:eastAsia="宋体" w:cs="宋体"/>
        </w:rPr>
        <w:t>伟大教练</w:t>
      </w:r>
      <w:r>
        <w:rPr>
          <w:rFonts w:cs="Cambria"/>
        </w:rPr>
        <w:t>”</w:t>
      </w:r>
      <w:r>
        <w:rPr>
          <w:rFonts w:hint="eastAsia" w:ascii="宋体" w:hAnsi="宋体" w:eastAsia="宋体" w:cs="宋体"/>
        </w:rPr>
        <w:t>识别</w:t>
      </w:r>
    </w:p>
    <w:p w14:paraId="2ED6C2BA">
      <w:pPr>
        <w:spacing w:after="240"/>
        <w:ind w:firstLine="480"/>
        <w:rPr>
          <w:rFonts w:hint="eastAsia"/>
        </w:rPr>
      </w:pPr>
      <w:r>
        <w:rPr>
          <w:rFonts w:hint="eastAsia" w:ascii="宋体" w:hAnsi="宋体" w:cs="宋体"/>
        </w:rPr>
        <w:t>首先，需要从提供的数据集中识别出</w:t>
      </w:r>
      <w:r>
        <w:rPr>
          <w:rFonts w:ascii="Georgia" w:hAnsi="Georgia" w:eastAsia="Georgia" w:cs="Georgia"/>
        </w:rPr>
        <w:t>“</w:t>
      </w:r>
      <w:r>
        <w:rPr>
          <w:rFonts w:hint="eastAsia" w:ascii="宋体" w:hAnsi="宋体" w:cs="宋体"/>
        </w:rPr>
        <w:t>伟大教练</w:t>
      </w:r>
      <w:r>
        <w:rPr>
          <w:rFonts w:ascii="Georgia" w:hAnsi="Georgia" w:eastAsia="Georgia" w:cs="Georgia"/>
        </w:rPr>
        <w:t>”</w:t>
      </w:r>
      <w:r>
        <w:rPr>
          <w:rFonts w:hint="eastAsia" w:ascii="宋体" w:hAnsi="宋体" w:cs="宋体"/>
        </w:rPr>
        <w:t>的存在与否。由于提供的数据集不直接包含教练信息，我们需通过外部资料或预先定义的教练名单，将特定教练的执教年份、国家和运动项目标注在数据集中。例如，已知郎平（</w:t>
      </w:r>
      <w:r>
        <w:rPr>
          <w:rFonts w:ascii="Georgia" w:hAnsi="Georgia" w:eastAsia="Georgia" w:cs="Georgia"/>
        </w:rPr>
        <w:t>Lang Ping</w:t>
      </w:r>
      <w:r>
        <w:rPr>
          <w:rFonts w:hint="eastAsia" w:ascii="宋体" w:hAnsi="宋体" w:cs="宋体"/>
        </w:rPr>
        <w:t>）曾执教中国和美国的排球队，贝拉</w:t>
      </w:r>
      <w:r>
        <w:rPr>
          <w:rFonts w:ascii="Georgia" w:hAnsi="Georgia" w:eastAsia="Georgia" w:cs="Georgia"/>
        </w:rPr>
        <w:t>·</w:t>
      </w:r>
      <w:r>
        <w:rPr>
          <w:rFonts w:hint="eastAsia" w:ascii="宋体" w:hAnsi="宋体" w:cs="宋体"/>
        </w:rPr>
        <w:t>卡罗伊（</w:t>
      </w:r>
      <w:r>
        <w:rPr>
          <w:rFonts w:ascii="Georgia" w:hAnsi="Georgia" w:eastAsia="Georgia" w:cs="Georgia"/>
        </w:rPr>
        <w:t>Béla Károlyi</w:t>
      </w:r>
      <w:r>
        <w:rPr>
          <w:rFonts w:hint="eastAsia" w:ascii="宋体" w:hAnsi="宋体" w:cs="宋体"/>
        </w:rPr>
        <w:t>）曾执教罗马尼亚和美国的体操队。通过这种方式，我们可以在数据集中创建一个二元变量</w:t>
      </w:r>
      <m:oMath>
        <m:sSub>
          <m:sSubPr>
            <m:ctrlPr>
              <w:rPr>
                <w:rFonts w:ascii="Cambria Math" w:hAnsi="Cambria Math"/>
              </w:rPr>
            </m:ctrlPr>
          </m:sSubPr>
          <m:e>
            <m:r>
              <m:rPr>
                <m:nor/>
                <m:sty m:val="p"/>
              </m:rPr>
              <m:t>Coach</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oMath>
      <w:r>
        <w:rPr>
          <w:rFonts w:hint="eastAsia" w:ascii="宋体" w:hAnsi="宋体" w:cs="宋体"/>
        </w:rPr>
        <w:t>，当国家</w:t>
      </w:r>
      <m:oMath>
        <m:r>
          <m:rPr/>
          <w:rPr>
            <w:rFonts w:ascii="Cambria Math" w:hAnsi="Cambria Math"/>
          </w:rPr>
          <m:t>c</m:t>
        </m:r>
      </m:oMath>
      <w:r>
        <w:rPr>
          <w:rFonts w:hint="eastAsia" w:ascii="宋体" w:hAnsi="宋体" w:cs="宋体"/>
        </w:rPr>
        <w:t>在运动项目</w:t>
      </w:r>
      <m:oMath>
        <m:r>
          <m:rPr/>
          <w:rPr>
            <w:rFonts w:ascii="Cambria Math" w:hAnsi="Cambria Math"/>
          </w:rPr>
          <m:t>s</m:t>
        </m:r>
      </m:oMath>
      <w:r>
        <w:rPr>
          <w:rFonts w:hint="eastAsia" w:ascii="宋体" w:hAnsi="宋体" w:cs="宋体"/>
        </w:rPr>
        <w:t>于第</w:t>
      </w:r>
      <m:oMath>
        <m:r>
          <m:rPr/>
          <w:rPr>
            <w:rFonts w:ascii="Cambria Math" w:hAnsi="Cambria Math"/>
          </w:rPr>
          <m:t>t</m:t>
        </m:r>
      </m:oMath>
      <w:r>
        <w:rPr>
          <w:rFonts w:hint="eastAsia" w:ascii="宋体" w:hAnsi="宋体" w:cs="宋体"/>
        </w:rPr>
        <w:t>届奥运会中拥有</w:t>
      </w:r>
      <w:r>
        <w:rPr>
          <w:rFonts w:ascii="Georgia" w:hAnsi="Georgia" w:eastAsia="Georgia" w:cs="Georgia"/>
        </w:rPr>
        <w:t>“</w:t>
      </w:r>
      <w:r>
        <w:rPr>
          <w:rFonts w:hint="eastAsia" w:ascii="宋体" w:hAnsi="宋体" w:cs="宋体"/>
        </w:rPr>
        <w:t>伟大教练</w:t>
      </w:r>
      <w:r>
        <w:rPr>
          <w:rFonts w:ascii="Georgia" w:hAnsi="Georgia" w:eastAsia="Georgia" w:cs="Georgia"/>
        </w:rPr>
        <w:t>”</w:t>
      </w:r>
      <w:r>
        <w:rPr>
          <w:rFonts w:hint="eastAsia" w:ascii="宋体" w:hAnsi="宋体" w:cs="宋体"/>
        </w:rPr>
        <w:t>时，该变量取值为</w:t>
      </w:r>
      <w:r>
        <w:rPr>
          <w:rFonts w:ascii="Georgia" w:hAnsi="Georgia" w:eastAsia="Georgia" w:cs="Georgia"/>
        </w:rPr>
        <w:t>1</w:t>
      </w:r>
      <w:r>
        <w:rPr>
          <w:rFonts w:hint="eastAsia" w:ascii="宋体" w:hAnsi="宋体" w:cs="宋体"/>
        </w:rPr>
        <w:t>，否则为</w:t>
      </w:r>
      <w:r>
        <w:rPr>
          <w:rFonts w:ascii="Georgia" w:hAnsi="Georgia" w:eastAsia="Georgia" w:cs="Georgia"/>
        </w:rPr>
        <w:t>0</w:t>
      </w:r>
      <w:r>
        <w:rPr>
          <w:rFonts w:hint="eastAsia" w:ascii="宋体" w:hAnsi="宋体" w:cs="宋体"/>
        </w:rPr>
        <w:t>。</w:t>
      </w:r>
    </w:p>
    <w:p w14:paraId="7FF91CA1">
      <w:pPr>
        <w:pStyle w:val="12"/>
        <w:rPr>
          <w:rFonts w:hint="eastAsia"/>
        </w:rPr>
      </w:pPr>
      <w:r>
        <w:rPr>
          <w:rFonts w:hint="eastAsia"/>
        </w:rPr>
        <w:t>5.2.2</w:t>
      </w:r>
      <w:r>
        <w:rPr>
          <w:rFonts w:hint="eastAsia" w:eastAsiaTheme="minorEastAsia"/>
        </w:rPr>
        <w:t xml:space="preserve"> </w:t>
      </w:r>
      <w:r>
        <w:rPr>
          <w:rFonts w:ascii="Georgia" w:hAnsi="Georgia" w:eastAsia="Georgia" w:cs="Georgia"/>
        </w:rPr>
        <w:t>“</w:t>
      </w:r>
      <w:r>
        <w:rPr>
          <w:rFonts w:hint="eastAsia" w:eastAsia="宋体"/>
        </w:rPr>
        <w:t>伟大教练</w:t>
      </w:r>
      <w:r>
        <w:rPr>
          <w:rFonts w:ascii="Georgia" w:hAnsi="Georgia" w:eastAsia="Georgia" w:cs="Georgia"/>
        </w:rPr>
        <w:t>”</w:t>
      </w:r>
      <w:r>
        <w:rPr>
          <w:rFonts w:hint="eastAsia" w:eastAsia="宋体"/>
        </w:rPr>
        <w:t>效应分析模型</w:t>
      </w:r>
      <w:r>
        <w:rPr>
          <w:rFonts w:hint="eastAsia" w:ascii="宋体" w:hAnsi="宋体" w:eastAsia="宋体" w:cs="宋体"/>
        </w:rPr>
        <w:t>总体框架</w:t>
      </w:r>
    </w:p>
    <w:p w14:paraId="12CC3C22">
      <w:pPr>
        <w:ind w:firstLine="480"/>
        <w:rPr>
          <w:rFonts w:hint="eastAsia"/>
        </w:rPr>
      </w:pPr>
      <w:r>
        <w:rPr>
          <w:rFonts w:hint="eastAsia"/>
        </w:rPr>
        <w:t>为了评估</w:t>
      </w:r>
      <w:r>
        <w:rPr>
          <w:rFonts w:ascii="Georgia" w:hAnsi="Georgia" w:eastAsia="Georgia" w:cs="Georgia"/>
        </w:rPr>
        <w:t>“</w:t>
      </w:r>
      <w:r>
        <w:rPr>
          <w:rFonts w:hint="eastAsia"/>
        </w:rPr>
        <w:t>伟大教练</w:t>
      </w:r>
      <w:r>
        <w:rPr>
          <w:rFonts w:ascii="Georgia" w:hAnsi="Georgia" w:eastAsia="Georgia" w:cs="Georgia"/>
        </w:rPr>
        <w:t>”</w:t>
      </w:r>
      <w:r>
        <w:rPr>
          <w:rFonts w:hint="eastAsia"/>
        </w:rPr>
        <w:t>对奖牌数的影响，我们采用</w:t>
      </w:r>
      <w:r>
        <w:t>多层次泊松回归模型</w:t>
      </w:r>
      <w:r>
        <w:rPr>
          <w:rFonts w:hint="eastAsia"/>
        </w:rPr>
        <w:t>。该模型适用于计数型数据（如奖牌数），并能够处理数据中的层次结构，如国家、运动项目和届次。模型的核心思想是将奖牌数建模为这些层次因素的函数，并通过回归系数量化</w:t>
      </w:r>
      <w:r>
        <w:rPr>
          <w:rFonts w:ascii="Georgia" w:hAnsi="Georgia" w:eastAsia="Georgia" w:cs="Georgia"/>
        </w:rPr>
        <w:t>“</w:t>
      </w:r>
      <w:r>
        <w:rPr>
          <w:rFonts w:hint="eastAsia"/>
        </w:rPr>
        <w:t>伟大教练</w:t>
      </w:r>
      <w:r>
        <w:rPr>
          <w:rFonts w:ascii="Georgia" w:hAnsi="Georgia" w:eastAsia="Georgia" w:cs="Georgia"/>
        </w:rPr>
        <w:t>”</w:t>
      </w:r>
      <w:r>
        <w:rPr>
          <w:rFonts w:hint="eastAsia"/>
        </w:rPr>
        <w:t>效应。</w:t>
      </w:r>
    </w:p>
    <w:p w14:paraId="402BB0B4">
      <w:pPr>
        <w:ind w:firstLine="480"/>
        <w:rPr>
          <w:rFonts w:hint="eastAsia"/>
        </w:rPr>
      </w:pPr>
      <w:r>
        <w:rPr>
          <w:rFonts w:hint="eastAsia"/>
        </w:rPr>
        <w:t>设</w:t>
      </w: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oMath>
      <w:r>
        <w:rPr>
          <w:rFonts w:hint="eastAsia"/>
        </w:rPr>
        <w:t>表示国家</w:t>
      </w:r>
      <m:oMath>
        <m:r>
          <m:rPr/>
          <w:rPr>
            <w:rFonts w:ascii="Cambria Math" w:hAnsi="Cambria Math"/>
          </w:rPr>
          <m:t>c</m:t>
        </m:r>
      </m:oMath>
      <w:r>
        <w:rPr>
          <w:rFonts w:hint="eastAsia"/>
        </w:rPr>
        <w:t>在运动项目</w:t>
      </w:r>
      <m:oMath>
        <m:r>
          <m:rPr/>
          <w:rPr>
            <w:rFonts w:ascii="Cambria Math" w:hAnsi="Cambria Math"/>
          </w:rPr>
          <m:t>s</m:t>
        </m:r>
      </m:oMath>
      <w:r>
        <w:rPr>
          <w:rFonts w:hint="eastAsia"/>
        </w:rPr>
        <w:t>于第</w:t>
      </w:r>
      <m:oMath>
        <m:r>
          <m:rPr/>
          <w:rPr>
            <w:rFonts w:ascii="Cambria Math" w:hAnsi="Cambria Math"/>
          </w:rPr>
          <m:t>t</m:t>
        </m:r>
      </m:oMath>
      <w:r>
        <w:rPr>
          <w:rFonts w:hint="eastAsia"/>
        </w:rPr>
        <w:t>届夏季奥运会中获得的奖牌数。考虑到奖牌数为非负整数型的计数数据，我们假设</w:t>
      </w:r>
    </w:p>
    <w:p w14:paraId="6726C6C0">
      <w:pPr>
        <w:pStyle w:val="36"/>
        <w:rPr>
          <w:rFonts w:hint="eastAsia"/>
        </w:rPr>
      </w:pPr>
      <m:oMathPara>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m:nor/>
              <m:sty m:val="p"/>
            </m:rPr>
            <m:t>Poisson</m:t>
          </m:r>
          <m:r>
            <m:rPr>
              <m:sty m:val="p"/>
            </m:rPr>
            <w:rPr>
              <w:rFonts w:ascii="Cambria Math" w:hAnsi="Cambria Math"/>
            </w:rPr>
            <m:t>(</m:t>
          </m:r>
          <m:sSub>
            <m:sSubPr>
              <m:ctrlPr>
                <w:rPr>
                  <w:rFonts w:ascii="Cambria Math" w:hAnsi="Cambria Math"/>
                </w:rPr>
              </m:ctrlPr>
            </m:sSubPr>
            <m:e>
              <m:r>
                <m:rPr/>
                <w:rPr>
                  <w:rFonts w:ascii="Cambria Math" w:hAnsi="Cambria Math"/>
                </w:rPr>
                <m:t>λ</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oMath>
      </m:oMathPara>
    </w:p>
    <w:p w14:paraId="55A39A07">
      <w:pPr>
        <w:ind w:firstLine="480"/>
        <w:rPr>
          <w:rFonts w:hint="eastAsia"/>
        </w:rPr>
      </w:pPr>
      <m:oMath>
        <m:sSub>
          <m:sSubPr>
            <m:ctrlPr>
              <w:rPr>
                <w:rFonts w:ascii="Cambria Math" w:hAnsi="Cambria Math"/>
              </w:rPr>
            </m:ctrlPr>
          </m:sSubPr>
          <m:e>
            <m:r>
              <m:rPr/>
              <w:rPr>
                <w:rFonts w:ascii="Cambria Math" w:hAnsi="Cambria Math"/>
              </w:rPr>
              <m:t>λ</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oMath>
      <w:r>
        <w:rPr>
          <w:rFonts w:hint="eastAsia"/>
        </w:rPr>
        <w:t>是国家</w:t>
      </w:r>
      <m:oMath>
        <m:r>
          <m:rPr/>
          <w:rPr>
            <w:rFonts w:ascii="Cambria Math" w:hAnsi="Cambria Math"/>
          </w:rPr>
          <m:t>c</m:t>
        </m:r>
      </m:oMath>
      <w:r>
        <w:rPr>
          <w:rFonts w:hint="eastAsia"/>
        </w:rPr>
        <w:t>在运动项目</w:t>
      </w:r>
      <m:oMath>
        <m:r>
          <m:rPr/>
          <w:rPr>
            <w:rFonts w:ascii="Cambria Math" w:hAnsi="Cambria Math"/>
          </w:rPr>
          <m:t>s</m:t>
        </m:r>
      </m:oMath>
      <w:r>
        <w:rPr>
          <w:rFonts w:hint="eastAsia"/>
        </w:rPr>
        <w:t>于第</w:t>
      </w:r>
      <m:oMath>
        <m:r>
          <m:rPr/>
          <w:rPr>
            <w:rFonts w:ascii="Cambria Math" w:hAnsi="Cambria Math"/>
          </w:rPr>
          <m:t>t</m:t>
        </m:r>
      </m:oMath>
      <w:r>
        <w:rPr>
          <w:rFonts w:hint="eastAsia"/>
        </w:rPr>
        <w:t>届奥运会中的期望奖牌数。为了将期望奖牌数的对数与自变量联系起来，我们采用对数链接函数，将其建模为自变量的线性组合：</w:t>
      </w:r>
    </w:p>
    <w:p w14:paraId="0058D610">
      <w:pPr>
        <w:ind w:firstLine="480"/>
        <w:rPr>
          <w:rFonts w:hint="eastAsia"/>
        </w:rPr>
      </w:pPr>
      <m:oMathPara>
        <m:oMath>
          <m:r>
            <m:rPr>
              <m:sty m:val="p"/>
            </m:rPr>
            <w:rPr>
              <w:rFonts w:ascii="Cambria Math" w:hAnsi="Cambria Math"/>
            </w:rPr>
            <m:t>log⁡(</m:t>
          </m:r>
          <m:sSub>
            <m:sSubPr>
              <m:ctrlPr>
                <w:rPr>
                  <w:rFonts w:ascii="Cambria Math" w:hAnsi="Cambria Math"/>
                </w:rPr>
              </m:ctrlPr>
            </m:sSubPr>
            <m:e>
              <m:r>
                <m:rPr/>
                <w:rPr>
                  <w:rFonts w:ascii="Cambria Math" w:hAnsi="Cambria Math"/>
                </w:rPr>
                <m:t>λ</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α</m:t>
          </m:r>
          <m:r>
            <m:rPr>
              <m:sty m:val="p"/>
            </m:rPr>
            <w:rPr>
              <w:rFonts w:ascii="Cambria Math" w:hAnsi="Cambria Math"/>
            </w:rPr>
            <m:t>+</m:t>
          </m:r>
          <m:r>
            <m:rPr/>
            <w:rPr>
              <w:rFonts w:ascii="Cambria Math" w:hAnsi="Cambria Math"/>
            </w:rPr>
            <m:t>β</m:t>
          </m:r>
          <m:r>
            <m:rPr>
              <m:sty m:val="p"/>
            </m:rPr>
            <w:rPr>
              <w:rFonts w:ascii="Cambria Math" w:hAnsi="Cambria Math"/>
            </w:rPr>
            <m:t>⋅</m:t>
          </m:r>
          <m:sSub>
            <m:sSubPr>
              <m:ctrlPr>
                <w:rPr>
                  <w:rFonts w:ascii="Cambria Math" w:hAnsi="Cambria Math"/>
                </w:rPr>
              </m:ctrlPr>
            </m:sSubPr>
            <m:e>
              <m:r>
                <m:rPr>
                  <m:nor/>
                  <m:sty m:val="p"/>
                </m:rPr>
                <m:t>Coach</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ϵ</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ctrlPr>
                <w:rPr>
                  <w:rFonts w:ascii="Cambria Math" w:hAnsi="Cambria Math"/>
                </w:rPr>
              </m:ctrlPr>
            </m:sub>
          </m:sSub>
          <m:r>
            <m:rPr>
              <m:sty m:val="p"/>
            </m:rPr>
            <w:rPr>
              <w:rFonts w:ascii="Cambria Math" w:hAnsi="Cambria Math"/>
            </w:rPr>
            <m:t>.</m:t>
          </m:r>
        </m:oMath>
      </m:oMathPara>
    </w:p>
    <w:p w14:paraId="6B18DD48">
      <w:pPr>
        <w:ind w:firstLine="480"/>
        <w:rPr>
          <w:rFonts w:hint="eastAsia"/>
        </w:rPr>
      </w:pPr>
      <w:r>
        <w:rPr>
          <w:rFonts w:hint="eastAsia"/>
        </w:rPr>
        <w:t>在上述表达式中，</w:t>
      </w:r>
      <m:oMath>
        <m:r>
          <m:rPr/>
          <w:rPr>
            <w:rFonts w:ascii="Cambria Math" w:hAnsi="Cambria Math"/>
          </w:rPr>
          <m:t>α</m:t>
        </m:r>
      </m:oMath>
      <w:r>
        <w:rPr>
          <w:rFonts w:hint="eastAsia"/>
        </w:rPr>
        <w:t>是全局截距，代表在没有任何影响因素时的基础奖牌数；</w:t>
      </w:r>
      <m:oMath>
        <m:r>
          <m:rPr/>
          <w:rPr>
            <w:rFonts w:ascii="Cambria Math" w:hAnsi="Cambria Math"/>
          </w:rPr>
          <m:t>β</m:t>
        </m:r>
      </m:oMath>
      <w:r>
        <w:rPr>
          <w:rFonts w:hint="eastAsia"/>
        </w:rPr>
        <w:t>是</w:t>
      </w:r>
      <w:r>
        <w:rPr>
          <w:rFonts w:ascii="Georgia" w:hAnsi="Georgia" w:eastAsia="Georgia" w:cs="Georgia"/>
        </w:rPr>
        <w:t>“</w:t>
      </w:r>
      <w:r>
        <w:rPr>
          <w:rFonts w:hint="eastAsia"/>
        </w:rPr>
        <w:t>伟大教练</w:t>
      </w:r>
      <w:r>
        <w:rPr>
          <w:rFonts w:ascii="Georgia" w:hAnsi="Georgia" w:eastAsia="Georgia" w:cs="Georgia"/>
        </w:rPr>
        <w:t>”</w:t>
      </w:r>
      <w:r>
        <w:rPr>
          <w:rFonts w:hint="eastAsia"/>
        </w:rPr>
        <w:t>效应的回归系数，衡量拥有</w:t>
      </w:r>
      <w:r>
        <w:rPr>
          <w:rFonts w:ascii="Georgia" w:hAnsi="Georgia" w:eastAsia="Georgia" w:cs="Georgia"/>
        </w:rPr>
        <w:t>“</w:t>
      </w:r>
      <w:r>
        <w:rPr>
          <w:rFonts w:hint="eastAsia"/>
        </w:rPr>
        <w:t>伟大教练</w:t>
      </w:r>
      <w:r>
        <w:rPr>
          <w:rFonts w:ascii="Georgia" w:hAnsi="Georgia" w:eastAsia="Georgia" w:cs="Georgia"/>
        </w:rPr>
        <w:t>”</w:t>
      </w:r>
      <w:r>
        <w:rPr>
          <w:rFonts w:hint="eastAsia"/>
        </w:rPr>
        <w:t>对奖牌数的影响程度；</w:t>
      </w:r>
      <m:oMath>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c</m:t>
            </m:r>
            <m:ctrlPr>
              <w:rPr>
                <w:rFonts w:ascii="Cambria Math" w:hAnsi="Cambria Math"/>
              </w:rPr>
            </m:ctrlPr>
          </m:sub>
        </m:sSub>
      </m:oMath>
      <w:r>
        <w:rPr>
          <w:rFonts w:hint="eastAsia"/>
        </w:rPr>
        <w:t>是国家</w:t>
      </w:r>
      <m:oMath>
        <m:r>
          <m:rPr/>
          <w:rPr>
            <w:rFonts w:ascii="Cambria Math" w:hAnsi="Cambria Math"/>
          </w:rPr>
          <m:t>c</m:t>
        </m:r>
      </m:oMath>
      <w:r>
        <w:rPr>
          <w:rFonts w:hint="eastAsia"/>
        </w:rPr>
        <w:t>的固定效应，用于控制不同国家间不随时间变化的特质；</w:t>
      </w:r>
      <m:oMath>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s</m:t>
            </m:r>
            <m:ctrlPr>
              <w:rPr>
                <w:rFonts w:ascii="Cambria Math" w:hAnsi="Cambria Math"/>
              </w:rPr>
            </m:ctrlPr>
          </m:sub>
        </m:sSub>
      </m:oMath>
      <w:r>
        <w:rPr>
          <w:rFonts w:hint="eastAsia"/>
        </w:rPr>
        <w:t>是运动项目</w:t>
      </w:r>
      <m:oMath>
        <m:r>
          <m:rPr/>
          <w:rPr>
            <w:rFonts w:ascii="Cambria Math" w:hAnsi="Cambria Math"/>
          </w:rPr>
          <m:t>s</m:t>
        </m:r>
      </m:oMath>
      <w:r>
        <w:rPr>
          <w:rFonts w:hint="eastAsia"/>
        </w:rPr>
        <w:t>的固定效应，控制不同运动项目间的不变特质；</w:t>
      </w:r>
      <m:oMath>
        <m:sSub>
          <m:sSubPr>
            <m:ctrlPr>
              <w:rPr>
                <w:rFonts w:ascii="Cambria Math" w:hAnsi="Cambria Math"/>
              </w:rPr>
            </m:ctrlPr>
          </m:sSubPr>
          <m:e>
            <m:r>
              <m:rPr/>
              <w:rPr>
                <w:rFonts w:ascii="Cambria Math" w:hAnsi="Cambria Math"/>
              </w:rPr>
              <m:t>ϵ</m:t>
            </m:r>
            <m:ctrlPr>
              <w:rPr>
                <w:rFonts w:ascii="Cambria Math" w:hAnsi="Cambria Math"/>
              </w:rPr>
            </m:ctrlPr>
          </m:e>
          <m:sub>
            <m:r>
              <m:rPr/>
              <w:rPr>
                <w:rFonts w:ascii="Cambria Math" w:hAnsi="Cambria Math"/>
              </w:rPr>
              <m:t>t</m:t>
            </m:r>
            <m:ctrlPr>
              <w:rPr>
                <w:rFonts w:ascii="Cambria Math" w:hAnsi="Cambria Math"/>
              </w:rPr>
            </m:ctrlPr>
          </m:sub>
        </m:sSub>
      </m:oMath>
      <w:r>
        <w:rPr>
          <w:rFonts w:hint="eastAsia"/>
        </w:rPr>
        <w:t>是第</w:t>
      </w:r>
      <m:oMath>
        <m:r>
          <m:rPr/>
          <w:rPr>
            <w:rFonts w:ascii="Cambria Math" w:hAnsi="Cambria Math"/>
          </w:rPr>
          <m:t>t</m:t>
        </m:r>
      </m:oMath>
      <w:r>
        <w:rPr>
          <w:rFonts w:hint="eastAsia"/>
        </w:rPr>
        <w:t>届奥运会的固定效应，捕捉特定届次的系统性影响；</w:t>
      </w:r>
      <m:oMath>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ctrlPr>
              <w:rPr>
                <w:rFonts w:ascii="Cambria Math" w:hAnsi="Cambria Math"/>
              </w:rPr>
            </m:ctrlPr>
          </m:sub>
        </m:sSub>
      </m:oMath>
      <w:r>
        <w:rPr>
          <w:rFonts w:hint="eastAsia"/>
        </w:rPr>
        <w:t>是国家</w:t>
      </w:r>
      <m:oMath>
        <m:r>
          <m:rPr/>
          <w:rPr>
            <w:rFonts w:ascii="Cambria Math" w:hAnsi="Cambria Math"/>
          </w:rPr>
          <m:t>c</m:t>
        </m:r>
      </m:oMath>
      <w:r>
        <w:rPr>
          <w:rFonts w:hint="eastAsia"/>
        </w:rPr>
        <w:t>在运动项目</w:t>
      </w:r>
      <m:oMath>
        <m:r>
          <m:rPr/>
          <w:rPr>
            <w:rFonts w:ascii="Cambria Math" w:hAnsi="Cambria Math"/>
          </w:rPr>
          <m:t>s</m:t>
        </m:r>
      </m:oMath>
      <w:r>
        <w:rPr>
          <w:rFonts w:hint="eastAsia"/>
        </w:rPr>
        <w:t>上的随机效应，反映特定国家和运动项目组合的不可观测特质。</w:t>
      </w:r>
    </w:p>
    <w:p w14:paraId="33EDF936">
      <w:pPr>
        <w:pStyle w:val="12"/>
        <w:rPr>
          <w:rFonts w:hint="eastAsia"/>
        </w:rPr>
      </w:pPr>
      <w:r>
        <w:rPr>
          <w:rFonts w:hint="eastAsia"/>
        </w:rPr>
        <w:t xml:space="preserve">5.2.3 </w:t>
      </w:r>
      <w:r>
        <w:rPr>
          <w:rFonts w:hint="eastAsia" w:ascii="宋体" w:hAnsi="宋体" w:eastAsia="宋体" w:cs="宋体"/>
        </w:rPr>
        <w:t>模型参数估计与效应量化</w:t>
      </w:r>
    </w:p>
    <w:p w14:paraId="4B7E5D9D">
      <w:pPr>
        <w:ind w:firstLine="480"/>
        <w:rPr>
          <w:rFonts w:hint="eastAsia"/>
        </w:rPr>
      </w:pPr>
      <w:r>
        <w:rPr>
          <w:rFonts w:hint="eastAsia"/>
        </w:rPr>
        <w:t>模型中的参数</w:t>
      </w:r>
      <m:oMath>
        <m:r>
          <m:rPr/>
          <w:rPr>
            <w:rFonts w:ascii="Cambria Math" w:hAnsi="Cambria Math"/>
          </w:rPr>
          <m:t>α</m:t>
        </m:r>
      </m:oMath>
      <w:r>
        <w:rPr>
          <w:rFonts w:hint="eastAsia"/>
        </w:rPr>
        <w:t>、</w:t>
      </w:r>
      <m:oMath>
        <m:r>
          <m:rPr/>
          <w:rPr>
            <w:rFonts w:ascii="Cambria Math" w:hAnsi="Cambria Math"/>
          </w:rPr>
          <m:t>β</m:t>
        </m:r>
      </m:oMath>
      <w:r>
        <w:rPr>
          <w:rFonts w:hint="eastAsia"/>
        </w:rPr>
        <w:t>、</w:t>
      </w:r>
      <m:oMath>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c</m:t>
            </m:r>
            <m:ctrlPr>
              <w:rPr>
                <w:rFonts w:ascii="Cambria Math" w:hAnsi="Cambria Math"/>
              </w:rPr>
            </m:ctrlPr>
          </m:sub>
        </m:sSub>
      </m:oMath>
      <w:r>
        <w:rPr>
          <w:rFonts w:hint="eastAsia"/>
        </w:rPr>
        <w:t>、</w:t>
      </w:r>
      <m:oMath>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s</m:t>
            </m:r>
            <m:ctrlPr>
              <w:rPr>
                <w:rFonts w:ascii="Cambria Math" w:hAnsi="Cambria Math"/>
              </w:rPr>
            </m:ctrlPr>
          </m:sub>
        </m:sSub>
      </m:oMath>
      <w:r>
        <w:rPr>
          <w:rFonts w:hint="eastAsia"/>
        </w:rPr>
        <w:t>以及</w:t>
      </w:r>
      <m:oMath>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ctrlPr>
              <w:rPr>
                <w:rFonts w:ascii="Cambria Math" w:hAnsi="Cambria Math"/>
              </w:rPr>
            </m:ctrlPr>
          </m:sub>
        </m:sSub>
      </m:oMath>
      <w:r>
        <w:rPr>
          <w:rFonts w:hint="eastAsia"/>
        </w:rPr>
        <w:t>需要通过最大似然估计（</w:t>
      </w:r>
      <w:r>
        <w:rPr>
          <w:rFonts w:ascii="Georgia" w:hAnsi="Georgia" w:eastAsia="Georgia" w:cs="Georgia"/>
        </w:rPr>
        <w:t>MLE</w:t>
      </w:r>
      <w:r>
        <w:rPr>
          <w:rFonts w:hint="eastAsia"/>
        </w:rPr>
        <w:t>）或贝叶斯方法进行估计。由于模型包含大量的固定效应和随机效应，贝叶斯方法通过马尔可夫链蒙特卡洛（</w:t>
      </w:r>
      <w:r>
        <w:rPr>
          <w:rFonts w:ascii="Georgia" w:hAnsi="Georgia" w:eastAsia="Georgia" w:cs="Georgia"/>
        </w:rPr>
        <w:t>MCMC</w:t>
      </w:r>
      <w:r>
        <w:rPr>
          <w:rFonts w:hint="eastAsia"/>
        </w:rPr>
        <w:t>）采样可以更有效地估计参数及其不确定性。</w:t>
      </w:r>
    </w:p>
    <w:p w14:paraId="49DA3770">
      <w:pPr>
        <w:ind w:firstLine="480"/>
        <w:rPr>
          <w:rFonts w:hint="eastAsia"/>
        </w:rPr>
      </w:pPr>
      <w:r>
        <w:rPr>
          <w:rFonts w:hint="eastAsia"/>
        </w:rPr>
        <w:t>通过估计得到的</w:t>
      </w:r>
      <m:oMath>
        <m:r>
          <m:rPr/>
          <w:rPr>
            <w:rFonts w:ascii="Cambria Math" w:hAnsi="Cambria Math"/>
          </w:rPr>
          <m:t>β</m:t>
        </m:r>
      </m:oMath>
      <w:r>
        <w:rPr>
          <w:rFonts w:hint="eastAsia"/>
        </w:rPr>
        <w:t>系数，可以量化</w:t>
      </w:r>
      <w:r>
        <w:rPr>
          <w:rFonts w:ascii="Georgia" w:hAnsi="Georgia" w:eastAsia="Georgia" w:cs="Georgia"/>
        </w:rPr>
        <w:t>“</w:t>
      </w:r>
      <w:r>
        <w:rPr>
          <w:rFonts w:hint="eastAsia"/>
        </w:rPr>
        <w:t>伟大教练</w:t>
      </w:r>
      <w:r>
        <w:rPr>
          <w:rFonts w:ascii="Georgia" w:hAnsi="Georgia" w:eastAsia="Georgia" w:cs="Georgia"/>
        </w:rPr>
        <w:t>”</w:t>
      </w:r>
      <w:r>
        <w:rPr>
          <w:rFonts w:hint="eastAsia"/>
        </w:rPr>
        <w:t>对奖牌数的具体贡献。具体而言，</w:t>
      </w:r>
      <m:oMath>
        <m:r>
          <m:rPr/>
          <w:rPr>
            <w:rFonts w:ascii="Cambria Math" w:hAnsi="Cambria Math"/>
          </w:rPr>
          <m:t>β</m:t>
        </m:r>
      </m:oMath>
      <w:r>
        <w:rPr>
          <w:rFonts w:hint="eastAsia"/>
        </w:rPr>
        <w:t>的指数化值</w:t>
      </w:r>
      <m:oMath>
        <m:sSup>
          <m:sSupPr>
            <m:ctrlPr>
              <w:rPr>
                <w:rFonts w:ascii="Cambria Math" w:hAnsi="Cambria Math"/>
              </w:rPr>
            </m:ctrlPr>
          </m:sSupPr>
          <m:e>
            <m:r>
              <m:rPr/>
              <w:rPr>
                <w:rFonts w:ascii="Cambria Math" w:hAnsi="Cambria Math"/>
              </w:rPr>
              <m:t>e</m:t>
            </m:r>
            <m:ctrlPr>
              <w:rPr>
                <w:rFonts w:ascii="Cambria Math" w:hAnsi="Cambria Math"/>
              </w:rPr>
            </m:ctrlPr>
          </m:e>
          <m:sup>
            <m:r>
              <m:rPr/>
              <w:rPr>
                <w:rFonts w:ascii="Cambria Math" w:hAnsi="Cambria Math"/>
              </w:rPr>
              <m:t>β</m:t>
            </m:r>
            <m:ctrlPr>
              <w:rPr>
                <w:rFonts w:ascii="Cambria Math" w:hAnsi="Cambria Math"/>
              </w:rPr>
            </m:ctrlPr>
          </m:sup>
        </m:sSup>
      </m:oMath>
      <w:r>
        <w:rPr>
          <w:rFonts w:hint="eastAsia"/>
        </w:rPr>
        <w:t>表示在拥有</w:t>
      </w:r>
      <w:r>
        <w:rPr>
          <w:rFonts w:ascii="Georgia" w:hAnsi="Georgia" w:eastAsia="Georgia" w:cs="Georgia"/>
        </w:rPr>
        <w:t>“</w:t>
      </w:r>
      <w:r>
        <w:rPr>
          <w:rFonts w:hint="eastAsia"/>
        </w:rPr>
        <w:t>伟大教练</w:t>
      </w:r>
      <w:r>
        <w:rPr>
          <w:rFonts w:ascii="Georgia" w:hAnsi="Georgia" w:eastAsia="Georgia" w:cs="Georgia"/>
        </w:rPr>
        <w:t>”</w:t>
      </w:r>
      <w:r>
        <w:rPr>
          <w:rFonts w:hint="eastAsia"/>
        </w:rPr>
        <w:t>的情况下，奖牌数相对于未拥有时的倍增效应。例如，如果</w:t>
      </w:r>
      <m:oMath>
        <m:r>
          <m:rPr/>
          <w:rPr>
            <w:rFonts w:ascii="Cambria Math" w:hAnsi="Cambria Math"/>
          </w:rPr>
          <m:t>β</m:t>
        </m:r>
        <m:r>
          <m:rPr>
            <m:sty m:val="p"/>
          </m:rPr>
          <w:rPr>
            <w:rFonts w:ascii="Cambria Math" w:hAnsi="Cambria Math"/>
          </w:rPr>
          <m:t>=0.5</m:t>
        </m:r>
      </m:oMath>
      <w:r>
        <w:rPr>
          <w:rFonts w:hint="eastAsia"/>
        </w:rPr>
        <w:t>，则</w:t>
      </w:r>
      <m:oMath>
        <m:sSup>
          <m:sSupPr>
            <m:ctrlPr>
              <w:rPr>
                <w:rFonts w:ascii="Cambria Math" w:hAnsi="Cambria Math"/>
              </w:rPr>
            </m:ctrlPr>
          </m:sSupPr>
          <m:e>
            <m:r>
              <m:rPr/>
              <w:rPr>
                <w:rFonts w:ascii="Cambria Math" w:hAnsi="Cambria Math"/>
              </w:rPr>
              <m:t>e</m:t>
            </m:r>
            <m:ctrlPr>
              <w:rPr>
                <w:rFonts w:ascii="Cambria Math" w:hAnsi="Cambria Math"/>
              </w:rPr>
            </m:ctrlPr>
          </m:e>
          <m:sup>
            <m:r>
              <m:rPr>
                <m:sty m:val="p"/>
              </m:rPr>
              <w:rPr>
                <w:rFonts w:ascii="Cambria Math" w:hAnsi="Cambria Math"/>
              </w:rPr>
              <m:t>0.5</m:t>
            </m:r>
            <m:ctrlPr>
              <w:rPr>
                <w:rFonts w:ascii="Cambria Math" w:hAnsi="Cambria Math"/>
              </w:rPr>
            </m:ctrlPr>
          </m:sup>
        </m:sSup>
        <m:r>
          <m:rPr>
            <m:sty m:val="p"/>
          </m:rPr>
          <w:rPr>
            <w:rFonts w:ascii="Cambria Math" w:hAnsi="Cambria Math"/>
          </w:rPr>
          <m:t>≈1.6487</m:t>
        </m:r>
      </m:oMath>
      <w:r>
        <w:rPr>
          <w:rFonts w:hint="eastAsia"/>
        </w:rPr>
        <w:t>，表示拥有</w:t>
      </w:r>
      <w:r>
        <w:rPr>
          <w:rFonts w:ascii="Georgia" w:hAnsi="Georgia" w:eastAsia="Georgia" w:cs="Georgia"/>
        </w:rPr>
        <w:t>“</w:t>
      </w:r>
      <w:r>
        <w:rPr>
          <w:rFonts w:hint="eastAsia"/>
        </w:rPr>
        <w:t>伟大教练</w:t>
      </w:r>
      <w:r>
        <w:rPr>
          <w:rFonts w:ascii="Georgia" w:hAnsi="Georgia" w:eastAsia="Georgia" w:cs="Georgia"/>
        </w:rPr>
        <w:t>”</w:t>
      </w:r>
      <w:r>
        <w:rPr>
          <w:rFonts w:hint="eastAsia"/>
        </w:rPr>
        <w:t>能够使奖牌数增加约</w:t>
      </w:r>
      <w:r>
        <w:rPr>
          <w:rFonts w:ascii="Georgia" w:hAnsi="Georgia" w:eastAsia="Georgia" w:cs="Georgia"/>
        </w:rPr>
        <w:t>64.87%</w:t>
      </w:r>
      <w:r>
        <w:rPr>
          <w:rFonts w:hint="eastAsia"/>
        </w:rPr>
        <w:t>。</w:t>
      </w:r>
    </w:p>
    <w:p w14:paraId="538D90A3">
      <w:pPr>
        <w:pStyle w:val="12"/>
        <w:rPr>
          <w:rFonts w:hint="eastAsia"/>
        </w:rPr>
      </w:pPr>
      <w:r>
        <w:rPr>
          <w:rFonts w:hint="eastAsia"/>
        </w:rPr>
        <w:t>5.2.4</w:t>
      </w:r>
      <w:r>
        <w:rPr>
          <w:rFonts w:hint="eastAsia" w:ascii="宋体" w:hAnsi="宋体" w:eastAsia="宋体" w:cs="宋体"/>
        </w:rPr>
        <w:t>应用模型进行</w:t>
      </w:r>
      <w:r>
        <w:rPr>
          <w:rFonts w:cs="Cambria"/>
        </w:rPr>
        <w:t>“</w:t>
      </w:r>
      <w:r>
        <w:rPr>
          <w:rFonts w:hint="eastAsia" w:ascii="宋体" w:hAnsi="宋体" w:eastAsia="宋体" w:cs="宋体"/>
        </w:rPr>
        <w:t>伟大教练</w:t>
      </w:r>
      <w:r>
        <w:rPr>
          <w:rFonts w:cs="Cambria"/>
        </w:rPr>
        <w:t>”</w:t>
      </w:r>
      <w:r>
        <w:rPr>
          <w:rFonts w:hint="eastAsia" w:ascii="宋体" w:hAnsi="宋体" w:eastAsia="宋体" w:cs="宋体"/>
        </w:rPr>
        <w:t>效应分析</w:t>
      </w:r>
    </w:p>
    <w:p w14:paraId="78F2ABF5">
      <w:pPr>
        <w:ind w:firstLine="480"/>
        <w:rPr>
          <w:rFonts w:hint="eastAsia"/>
        </w:rPr>
      </w:pPr>
      <w:r>
        <w:rPr>
          <w:rFonts w:hint="eastAsia"/>
        </w:rPr>
        <w:t>在构建并拟合上述模型后，我们可以具体应用于数据集中的实际情况。以下以三个国家及其关键运动项目为例，展示如何估计</w:t>
      </w:r>
      <w:r>
        <w:rPr>
          <w:rFonts w:ascii="Georgia" w:hAnsi="Georgia" w:eastAsia="Georgia" w:cs="Georgia"/>
        </w:rPr>
        <w:t>“</w:t>
      </w:r>
      <w:r>
        <w:rPr>
          <w:rFonts w:hint="eastAsia"/>
        </w:rPr>
        <w:t>伟大教练</w:t>
      </w:r>
      <w:r>
        <w:rPr>
          <w:rFonts w:ascii="Georgia" w:hAnsi="Georgia" w:eastAsia="Georgia" w:cs="Georgia"/>
        </w:rPr>
        <w:t>”</w:t>
      </w:r>
      <w:r>
        <w:rPr>
          <w:rFonts w:hint="eastAsia"/>
        </w:rPr>
        <w:t>效应的具体贡献。</w:t>
      </w:r>
    </w:p>
    <w:p w14:paraId="10BBC1AE">
      <w:pPr>
        <w:ind w:firstLine="480"/>
        <w:rPr>
          <w:rFonts w:hint="eastAsia"/>
        </w:rPr>
      </w:pPr>
      <w:r>
        <w:rPr>
          <w:rFonts w:hint="eastAsia"/>
        </w:rPr>
        <w:t>选择三个具有代表性的国家及其关键运动项目，例如中国的排球、美国的体操和德国的跆拳道。对于每个国家和运动项目组合，标识出哪些届次有</w:t>
      </w:r>
      <w:r>
        <w:rPr>
          <w:rFonts w:ascii="Georgia" w:hAnsi="Georgia" w:eastAsia="Georgia" w:cs="Georgia"/>
        </w:rPr>
        <w:t>“</w:t>
      </w:r>
      <w:r>
        <w:rPr>
          <w:rFonts w:hint="eastAsia"/>
        </w:rPr>
        <w:t>伟大教练</w:t>
      </w:r>
      <w:r>
        <w:rPr>
          <w:rFonts w:ascii="Georgia" w:hAnsi="Georgia" w:eastAsia="Georgia" w:cs="Georgia"/>
        </w:rPr>
        <w:t>”</w:t>
      </w:r>
      <w:r>
        <w:rPr>
          <w:rFonts w:hint="eastAsia"/>
        </w:rPr>
        <w:t>执教，并通过模型估计其对奖牌数的影响。</w:t>
      </w:r>
    </w:p>
    <w:p w14:paraId="0E01E470">
      <w:pPr>
        <w:ind w:firstLine="480"/>
        <w:rPr>
          <w:rFonts w:hint="eastAsia"/>
        </w:rPr>
      </w:pPr>
      <w:r>
        <w:rPr>
          <w:rFonts w:hint="eastAsia"/>
        </w:rPr>
        <w:t>设</w:t>
      </w:r>
      <m:oMath>
        <m:r>
          <m:rPr/>
          <w:rPr>
            <w:rFonts w:ascii="Cambria Math" w:hAnsi="Cambria Math"/>
          </w:rPr>
          <m:t>β</m:t>
        </m:r>
      </m:oMath>
      <w:r>
        <w:rPr>
          <w:rFonts w:hint="eastAsia"/>
        </w:rPr>
        <w:t>为</w:t>
      </w:r>
      <w:r>
        <w:rPr>
          <w:rFonts w:ascii="Georgia" w:hAnsi="Georgia" w:eastAsia="Georgia" w:cs="Georgia"/>
        </w:rPr>
        <w:t>“</w:t>
      </w:r>
      <w:r>
        <w:rPr>
          <w:rFonts w:hint="eastAsia"/>
        </w:rPr>
        <w:t>伟大教练</w:t>
      </w:r>
      <w:r>
        <w:rPr>
          <w:rFonts w:ascii="Georgia" w:hAnsi="Georgia" w:eastAsia="Georgia" w:cs="Georgia"/>
        </w:rPr>
        <w:t>”</w:t>
      </w:r>
      <w:r>
        <w:rPr>
          <w:rFonts w:hint="eastAsia"/>
        </w:rPr>
        <w:t>效应的回归系数，若在某届奥运会中，国家</w:t>
      </w:r>
      <m:oMath>
        <m:r>
          <m:rPr/>
          <w:rPr>
            <w:rFonts w:ascii="Cambria Math" w:hAnsi="Cambria Math"/>
          </w:rPr>
          <m:t>c</m:t>
        </m:r>
      </m:oMath>
      <w:r>
        <w:rPr>
          <w:rFonts w:hint="eastAsia"/>
        </w:rPr>
        <w:t>在运动项目</w:t>
      </w:r>
      <m:oMath>
        <m:r>
          <m:rPr/>
          <w:rPr>
            <w:rFonts w:ascii="Cambria Math" w:hAnsi="Cambria Math"/>
          </w:rPr>
          <m:t>s</m:t>
        </m:r>
      </m:oMath>
      <w:r>
        <w:rPr>
          <w:rFonts w:hint="eastAsia"/>
        </w:rPr>
        <w:t>中拥有</w:t>
      </w:r>
      <w:r>
        <w:rPr>
          <w:rFonts w:ascii="Georgia" w:hAnsi="Georgia" w:eastAsia="Georgia" w:cs="Georgia"/>
        </w:rPr>
        <w:t>“</w:t>
      </w:r>
      <w:r>
        <w:rPr>
          <w:rFonts w:hint="eastAsia"/>
        </w:rPr>
        <w:t>伟大教练</w:t>
      </w:r>
      <w:r>
        <w:rPr>
          <w:rFonts w:ascii="Georgia" w:hAnsi="Georgia" w:eastAsia="Georgia" w:cs="Georgia"/>
        </w:rPr>
        <w:t>”</w:t>
      </w:r>
      <w:r>
        <w:rPr>
          <w:rFonts w:hint="eastAsia"/>
        </w:rPr>
        <w:t>，则对应的奖牌数期望值为：</w:t>
      </w:r>
    </w:p>
    <w:p w14:paraId="79A56750">
      <w:pPr>
        <w:ind w:firstLine="480"/>
        <w:rPr>
          <w:rFonts w:hint="eastAsia"/>
        </w:rPr>
      </w:pPr>
      <m:oMathPara>
        <m:oMath>
          <m:r>
            <m:rPr>
              <m:sty m:val="p"/>
            </m:rPr>
            <w:rPr>
              <w:rFonts w:ascii="Cambria Math" w:hAnsi="Cambria Math"/>
            </w:rPr>
            <m:t>log⁡(</m:t>
          </m:r>
          <m:sSub>
            <m:sSubPr>
              <m:ctrlPr>
                <w:rPr>
                  <w:rFonts w:ascii="Cambria Math" w:hAnsi="Cambria Math"/>
                </w:rPr>
              </m:ctrlPr>
            </m:sSubPr>
            <m:e>
              <m:r>
                <m:rPr/>
                <w:rPr>
                  <w:rFonts w:ascii="Cambria Math" w:hAnsi="Cambria Math"/>
                </w:rPr>
                <m:t>λ</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α</m:t>
          </m:r>
          <m:r>
            <m:rPr>
              <m:sty m:val="p"/>
            </m:rPr>
            <w:rPr>
              <w:rFonts w:ascii="Cambria Math" w:hAnsi="Cambria Math"/>
            </w:rPr>
            <m:t>+</m:t>
          </m:r>
          <m:r>
            <m:rPr/>
            <w:rPr>
              <w:rFonts w:ascii="Cambria Math" w:hAnsi="Cambria Math"/>
            </w:rPr>
            <m:t>β</m:t>
          </m:r>
          <m:r>
            <m:rPr>
              <m:sty m:val="p"/>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ϵ</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ctrlPr>
                <w:rPr>
                  <w:rFonts w:ascii="Cambria Math" w:hAnsi="Cambria Math"/>
                </w:rPr>
              </m:ctrlPr>
            </m:sub>
          </m:sSub>
          <m:r>
            <m:rPr>
              <m:sty m:val="p"/>
            </m:rPr>
            <w:rPr>
              <w:rFonts w:ascii="Cambria Math" w:hAnsi="Cambria Math"/>
            </w:rPr>
            <m:t>.</m:t>
          </m:r>
        </m:oMath>
      </m:oMathPara>
    </w:p>
    <w:p w14:paraId="597964F7">
      <w:pPr>
        <w:ind w:firstLine="480"/>
        <w:rPr>
          <w:rFonts w:hint="eastAsia"/>
        </w:rPr>
      </w:pPr>
      <w:r>
        <w:rPr>
          <w:rFonts w:hint="eastAsia"/>
        </w:rPr>
        <w:t>通过指数化该表达式，得到期望奖牌数：</w:t>
      </w:r>
    </w:p>
    <w:p w14:paraId="21235024">
      <w:pPr>
        <w:ind w:firstLine="480"/>
        <w:rPr>
          <w:rFonts w:hint="eastAsia"/>
        </w:rPr>
      </w:pPr>
      <m:oMathPara>
        <m:oMath>
          <m:sSub>
            <m:sSubPr>
              <m:ctrlPr>
                <w:rPr>
                  <w:rFonts w:ascii="Cambria Math" w:hAnsi="Cambria Math"/>
                </w:rPr>
              </m:ctrlPr>
            </m:sSubPr>
            <m:e>
              <m:r>
                <m:rPr/>
                <w:rPr>
                  <w:rFonts w:ascii="Cambria Math" w:hAnsi="Cambria Math"/>
                </w:rPr>
                <m:t>λ</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=exp⁡(</m:t>
          </m:r>
          <m:r>
            <m:rPr/>
            <w:rPr>
              <w:rFonts w:ascii="Cambria Math" w:hAnsi="Cambria Math"/>
            </w:rPr>
            <m:t>α</m:t>
          </m:r>
          <m:r>
            <m:rPr>
              <m:sty m:val="p"/>
            </m:rPr>
            <w:rPr>
              <w:rFonts w:ascii="Cambria Math" w:hAnsi="Cambria Math"/>
            </w:rPr>
            <m:t>+</m:t>
          </m:r>
          <m:r>
            <m:rPr/>
            <w:rPr>
              <w:rFonts w:ascii="Cambria Math" w:hAnsi="Cambria Math"/>
            </w:rPr>
            <m:t>β</m:t>
          </m:r>
          <m:r>
            <m:rPr>
              <m:sty m:val="p"/>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ϵ</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ctrlPr>
                <w:rPr>
                  <w:rFonts w:ascii="Cambria Math" w:hAnsi="Cambria Math"/>
                </w:rPr>
              </m:ctrlPr>
            </m:sub>
          </m:sSub>
          <m:r>
            <m:rPr>
              <m:sty m:val="p"/>
            </m:rPr>
            <w:rPr>
              <w:rFonts w:ascii="Cambria Math" w:hAnsi="Cambria Math"/>
            </w:rPr>
            <m:t>).</m:t>
          </m:r>
        </m:oMath>
      </m:oMathPara>
    </w:p>
    <w:p w14:paraId="62C64AF2">
      <w:pPr>
        <w:ind w:firstLine="480"/>
        <w:rPr>
          <w:rFonts w:hint="eastAsia"/>
        </w:rPr>
      </w:pPr>
      <w:r>
        <w:rPr>
          <w:rFonts w:hint="eastAsia"/>
        </w:rPr>
        <w:t>与未拥有</w:t>
      </w:r>
      <w:r>
        <w:rPr>
          <w:rFonts w:ascii="Georgia" w:hAnsi="Georgia" w:eastAsia="Georgia" w:cs="Georgia"/>
        </w:rPr>
        <w:t>“</w:t>
      </w:r>
      <w:r>
        <w:rPr>
          <w:rFonts w:hint="eastAsia"/>
        </w:rPr>
        <w:t>伟大教练</w:t>
      </w:r>
      <w:r>
        <w:rPr>
          <w:rFonts w:ascii="Georgia" w:hAnsi="Georgia" w:eastAsia="Georgia" w:cs="Georgia"/>
        </w:rPr>
        <w:t>”</w:t>
      </w:r>
      <w:r>
        <w:rPr>
          <w:rFonts w:hint="eastAsia"/>
        </w:rPr>
        <w:t>时的期望奖牌数相比，拥有</w:t>
      </w:r>
      <w:r>
        <w:rPr>
          <w:rFonts w:ascii="Georgia" w:hAnsi="Georgia" w:eastAsia="Georgia" w:cs="Georgia"/>
        </w:rPr>
        <w:t>“</w:t>
      </w:r>
      <w:r>
        <w:rPr>
          <w:rFonts w:hint="eastAsia"/>
        </w:rPr>
        <w:t>伟大教练</w:t>
      </w:r>
      <w:r>
        <w:rPr>
          <w:rFonts w:ascii="Georgia" w:hAnsi="Georgia" w:eastAsia="Georgia" w:cs="Georgia"/>
        </w:rPr>
        <w:t>”</w:t>
      </w:r>
      <w:r>
        <w:rPr>
          <w:rFonts w:hint="eastAsia"/>
        </w:rPr>
        <w:t>的奖牌数倍增效应为：</w:t>
      </w:r>
    </w:p>
    <w:p w14:paraId="6C3605E5">
      <w:pPr>
        <w:ind w:firstLine="480"/>
        <w:rPr>
          <w:rFonts w:hint="eastAsia"/>
        </w:rPr>
      </w:pPr>
      <m:oMathPara>
        <m:oMath>
          <m:f>
            <m:fPr>
              <m:ctrlPr>
                <w:rPr>
                  <w:rFonts w:ascii="Cambria Math" w:hAnsi="Cambria Math"/>
                </w:rPr>
              </m:ctrlPr>
            </m:fPr>
            <m:num>
              <m:sSub>
                <m:sSubPr>
                  <m:ctrlPr>
                    <w:rPr>
                      <w:rFonts w:ascii="Cambria Math" w:hAnsi="Cambria Math"/>
                    </w:rPr>
                  </m:ctrlPr>
                </m:sSubPr>
                <m:e>
                  <m:r>
                    <m:rPr/>
                    <w:rPr>
                      <w:rFonts w:ascii="Cambria Math" w:hAnsi="Cambria Math"/>
                    </w:rPr>
                    <m:t>λ</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m:nor/>
                  <m:sty m:val="p"/>
                </m:rPr>
                <m:t>Coach</m:t>
              </m:r>
              <m:r>
                <m:rPr>
                  <m:sty m:val="p"/>
                </m:rPr>
                <w:rPr>
                  <w:rFonts w:ascii="Cambria Math" w:hAnsi="Cambria Math"/>
                </w:rPr>
                <m:t>=1)</m:t>
              </m:r>
              <m:ctrlPr>
                <w:rPr>
                  <w:rFonts w:ascii="Cambria Math" w:hAnsi="Cambria Math"/>
                </w:rPr>
              </m:ctrlPr>
            </m:num>
            <m:den>
              <m:sSub>
                <m:sSubPr>
                  <m:ctrlPr>
                    <w:rPr>
                      <w:rFonts w:ascii="Cambria Math" w:hAnsi="Cambria Math"/>
                    </w:rPr>
                  </m:ctrlPr>
                </m:sSubPr>
                <m:e>
                  <m:r>
                    <m:rPr/>
                    <w:rPr>
                      <w:rFonts w:ascii="Cambria Math" w:hAnsi="Cambria Math"/>
                    </w:rPr>
                    <m:t>λ</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m:nor/>
                  <m:sty m:val="p"/>
                </m:rPr>
                <m:t>Coach</m:t>
              </m:r>
              <m:r>
                <m:rPr>
                  <m:sty m:val="p"/>
                </m:rPr>
                <w:rPr>
                  <w:rFonts w:ascii="Cambria Math" w:hAnsi="Cambria Math"/>
                </w:rPr>
                <m:t>=0)</m:t>
              </m:r>
              <m:ctrlPr>
                <w:rPr>
                  <w:rFonts w:ascii="Cambria Math" w:hAnsi="Cambria Math"/>
                </w:rPr>
              </m:ctrlPr>
            </m:den>
          </m:f>
          <m:r>
            <m:rPr>
              <m:sty m:val="p"/>
            </m:rPr>
            <w:rPr>
              <w:rFonts w:ascii="Cambria Math" w:hAnsi="Cambria Math"/>
            </w:rPr>
            <m:t>=exp⁡(</m:t>
          </m:r>
          <m:r>
            <m:rPr/>
            <w:rPr>
              <w:rFonts w:ascii="Cambria Math" w:hAnsi="Cambria Math"/>
            </w:rPr>
            <m:t>β</m:t>
          </m:r>
          <m:r>
            <m:rPr>
              <m:sty m:val="p"/>
            </m:rPr>
            <w:rPr>
              <w:rFonts w:ascii="Cambria Math" w:hAnsi="Cambria Math"/>
            </w:rPr>
            <m:t>).</m:t>
          </m:r>
        </m:oMath>
      </m:oMathPara>
    </w:p>
    <w:p w14:paraId="6F8D162E">
      <w:pPr>
        <w:ind w:firstLine="480"/>
        <w:rPr>
          <w:rFonts w:hint="eastAsia"/>
        </w:rPr>
      </w:pPr>
      <w:r>
        <w:rPr>
          <w:rFonts w:hint="eastAsia"/>
        </w:rPr>
        <w:t>这一比值直接反映了</w:t>
      </w:r>
      <w:r>
        <w:rPr>
          <w:rFonts w:ascii="Georgia" w:hAnsi="Georgia" w:eastAsia="Georgia" w:cs="Georgia"/>
        </w:rPr>
        <w:t>“</w:t>
      </w:r>
      <w:r>
        <w:rPr>
          <w:rFonts w:hint="eastAsia"/>
        </w:rPr>
        <w:t>伟大教练</w:t>
      </w:r>
      <w:r>
        <w:rPr>
          <w:rFonts w:ascii="Georgia" w:hAnsi="Georgia" w:eastAsia="Georgia" w:cs="Georgia"/>
        </w:rPr>
        <w:t>”</w:t>
      </w:r>
      <w:r>
        <w:rPr>
          <w:rFonts w:hint="eastAsia"/>
        </w:rPr>
        <w:t>对奖牌数的影响程度。</w:t>
      </w:r>
    </w:p>
    <w:p w14:paraId="1298C372">
      <w:pPr>
        <w:pStyle w:val="12"/>
        <w:rPr>
          <w:rFonts w:hint="eastAsia"/>
        </w:rPr>
      </w:pPr>
      <w:r>
        <w:rPr>
          <w:rFonts w:hint="eastAsia"/>
        </w:rPr>
        <w:t xml:space="preserve">5.2.5 </w:t>
      </w:r>
      <w:r>
        <w:rPr>
          <w:rFonts w:hint="eastAsia" w:ascii="宋体" w:hAnsi="宋体" w:eastAsia="宋体" w:cs="宋体"/>
        </w:rPr>
        <w:t>选择三个国家及关键运动项目的影响估计</w:t>
      </w:r>
    </w:p>
    <w:p w14:paraId="098EB313">
      <w:pPr>
        <w:ind w:firstLine="480"/>
        <w:rPr>
          <w:rFonts w:hint="eastAsia"/>
        </w:rPr>
      </w:pPr>
      <w:r>
        <w:rPr>
          <w:rFonts w:hint="eastAsia"/>
        </w:rPr>
        <w:t>通过对模型进行参数估计，我们可以定量评估</w:t>
      </w:r>
      <w:r>
        <w:rPr>
          <w:rFonts w:ascii="Georgia" w:hAnsi="Georgia" w:eastAsia="Georgia" w:cs="Georgia"/>
        </w:rPr>
        <w:t>“</w:t>
      </w:r>
      <w:r>
        <w:rPr>
          <w:rFonts w:hint="eastAsia"/>
        </w:rPr>
        <w:t>伟大教练</w:t>
      </w:r>
      <w:r>
        <w:rPr>
          <w:rFonts w:ascii="Georgia" w:hAnsi="Georgia" w:eastAsia="Georgia" w:cs="Georgia"/>
        </w:rPr>
        <w:t>”</w:t>
      </w:r>
      <w:r>
        <w:rPr>
          <w:rFonts w:hint="eastAsia"/>
        </w:rPr>
        <w:t>对特定国家和运动项目的奖牌数影响。例如，对于中国排球，美国体操和德国跆拳道，假设在某届奥运会中分别引入</w:t>
      </w:r>
      <w:r>
        <w:rPr>
          <w:rFonts w:ascii="Georgia" w:hAnsi="Georgia" w:eastAsia="Georgia" w:cs="Georgia"/>
        </w:rPr>
        <w:t>“</w:t>
      </w:r>
      <w:r>
        <w:rPr>
          <w:rFonts w:hint="eastAsia"/>
        </w:rPr>
        <w:t>伟大教练</w:t>
      </w:r>
      <w:r>
        <w:rPr>
          <w:rFonts w:ascii="Georgia" w:hAnsi="Georgia" w:eastAsia="Georgia" w:cs="Georgia"/>
        </w:rPr>
        <w:t>”</w:t>
      </w:r>
      <w:r>
        <w:rPr>
          <w:rFonts w:hint="eastAsia"/>
        </w:rPr>
        <w:t>，则其奖牌数期望值的变化可通过上述公式进行计算。具体而言：</w:t>
      </w:r>
    </w:p>
    <w:p w14:paraId="42789E65">
      <w:pPr>
        <w:ind w:firstLine="480"/>
        <w:rPr>
          <w:rFonts w:hint="eastAsia"/>
        </w:rPr>
      </w:pPr>
      <w:r>
        <w:rPr>
          <w:rFonts w:hint="eastAsia"/>
        </w:rPr>
        <w:t>对于国家</w:t>
      </w:r>
      <m:oMath>
        <m:r>
          <m:rPr/>
          <w:rPr>
            <w:rFonts w:ascii="Cambria Math" w:hAnsi="Cambria Math"/>
          </w:rPr>
          <m:t>c</m:t>
        </m:r>
      </m:oMath>
      <w:r>
        <w:rPr>
          <w:rFonts w:hint="eastAsia"/>
        </w:rPr>
        <w:t>在运动项目</w:t>
      </w:r>
      <m:oMath>
        <m:r>
          <m:rPr/>
          <w:rPr>
            <w:rFonts w:ascii="Cambria Math" w:hAnsi="Cambria Math"/>
          </w:rPr>
          <m:t>s</m:t>
        </m:r>
      </m:oMath>
      <w:r>
        <w:rPr>
          <w:rFonts w:hint="eastAsia"/>
        </w:rPr>
        <w:t>于第</w:t>
      </w:r>
      <m:oMath>
        <m:r>
          <m:rPr/>
          <w:rPr>
            <w:rFonts w:ascii="Cambria Math" w:hAnsi="Cambria Math"/>
          </w:rPr>
          <m:t>t</m:t>
        </m:r>
      </m:oMath>
      <w:r>
        <w:rPr>
          <w:rFonts w:hint="eastAsia"/>
        </w:rPr>
        <w:t>届奥运会中拥有</w:t>
      </w:r>
      <w:r>
        <w:rPr>
          <w:rFonts w:ascii="Georgia" w:hAnsi="Georgia" w:eastAsia="Georgia" w:cs="Georgia"/>
        </w:rPr>
        <w:t>“</w:t>
      </w:r>
      <w:r>
        <w:rPr>
          <w:rFonts w:hint="eastAsia"/>
        </w:rPr>
        <w:t>伟大教练</w:t>
      </w:r>
      <w:r>
        <w:rPr>
          <w:rFonts w:ascii="Georgia" w:hAnsi="Georgia" w:eastAsia="Georgia" w:cs="Georgia"/>
        </w:rPr>
        <w:t>”</w:t>
      </w:r>
      <w:r>
        <w:rPr>
          <w:rFonts w:hint="eastAsia"/>
        </w:rPr>
        <w:t>，其奖牌数期望值为：</w:t>
      </w:r>
    </w:p>
    <w:p w14:paraId="28614EE7">
      <w:pPr>
        <w:ind w:firstLine="480"/>
        <w:rPr>
          <w:rFonts w:hint="eastAsia"/>
        </w:rPr>
      </w:pPr>
      <m:oMathPara>
        <m:oMath>
          <m:sSub>
            <m:sSubPr>
              <m:ctrlPr>
                <w:rPr>
                  <w:rFonts w:ascii="Cambria Math" w:hAnsi="Cambria Math"/>
                </w:rPr>
              </m:ctrlPr>
            </m:sSubPr>
            <m:e>
              <m:r>
                <m:rPr/>
                <w:rPr>
                  <w:rFonts w:ascii="Cambria Math" w:hAnsi="Cambria Math"/>
                </w:rPr>
                <m:t>λ</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=exp⁡(</m:t>
          </m:r>
          <m:r>
            <m:rPr/>
            <w:rPr>
              <w:rFonts w:ascii="Cambria Math" w:hAnsi="Cambria Math"/>
            </w:rPr>
            <m:t>α</m:t>
          </m:r>
          <m:r>
            <m:rPr>
              <m:sty m:val="p"/>
            </m:rPr>
            <w:rPr>
              <w:rFonts w:ascii="Cambria Math" w:hAnsi="Cambria Math"/>
            </w:rPr>
            <m:t>+</m:t>
          </m:r>
          <m:r>
            <m:rPr/>
            <w:rPr>
              <w:rFonts w:ascii="Cambria Math" w:hAnsi="Cambria Math"/>
            </w:rPr>
            <m:t>β</m:t>
          </m:r>
          <m:r>
            <m:rPr>
              <m:sty m:val="p"/>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ϵ</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ctrlPr>
                <w:rPr>
                  <w:rFonts w:ascii="Cambria Math" w:hAnsi="Cambria Math"/>
                </w:rPr>
              </m:ctrlPr>
            </m:sub>
          </m:sSub>
          <m:r>
            <m:rPr>
              <m:sty m:val="p"/>
            </m:rPr>
            <w:rPr>
              <w:rFonts w:ascii="Cambria Math" w:hAnsi="Cambria Math"/>
            </w:rPr>
            <m:t>).</m:t>
          </m:r>
        </m:oMath>
      </m:oMathPara>
    </w:p>
    <w:p w14:paraId="381CAEF6">
      <w:pPr>
        <w:ind w:firstLine="480"/>
        <w:rPr>
          <w:rFonts w:hint="eastAsia"/>
        </w:rPr>
      </w:pPr>
      <w:r>
        <w:rPr>
          <w:rFonts w:hint="eastAsia"/>
        </w:rPr>
        <w:t>未拥有</w:t>
      </w:r>
      <w:r>
        <w:rPr>
          <w:rFonts w:ascii="Georgia" w:hAnsi="Georgia" w:eastAsia="Georgia" w:cs="Georgia"/>
        </w:rPr>
        <w:t>“</w:t>
      </w:r>
      <w:r>
        <w:rPr>
          <w:rFonts w:hint="eastAsia"/>
        </w:rPr>
        <w:t>伟大教练</w:t>
      </w:r>
      <w:r>
        <w:rPr>
          <w:rFonts w:ascii="Georgia" w:hAnsi="Georgia" w:eastAsia="Georgia" w:cs="Georgia"/>
        </w:rPr>
        <w:t>”</w:t>
      </w:r>
      <w:r>
        <w:rPr>
          <w:rFonts w:hint="eastAsia"/>
        </w:rPr>
        <w:t>时，奖牌数期望值为：</w:t>
      </w:r>
    </w:p>
    <w:p w14:paraId="3F70F24D">
      <w:pPr>
        <w:ind w:firstLine="480"/>
        <w:rPr>
          <w:rFonts w:hint="eastAsia"/>
        </w:rPr>
      </w:pPr>
      <m:oMathPara>
        <m:oMath>
          <m:sSubSup>
            <m:sSubSupPr>
              <m:ctrlPr>
                <w:rPr>
                  <w:rFonts w:ascii="Cambria Math" w:hAnsi="Cambria Math"/>
                </w:rPr>
              </m:ctrlPr>
            </m:sSubSupPr>
            <m:e>
              <m:r>
                <m:rPr/>
                <w:rPr>
                  <w:rFonts w:ascii="Cambria Math" w:hAnsi="Cambria Math"/>
                </w:rPr>
                <m:t>λ</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up>
              <m:r>
                <m:rPr>
                  <m:sty m:val="p"/>
                </m:rPr>
                <w:rPr>
                  <w:rFonts w:ascii="Cambria Math" w:hAnsi="Cambria Math"/>
                </w:rPr>
                <m:t>'</m:t>
              </m:r>
              <m:ctrlPr>
                <w:rPr>
                  <w:rFonts w:ascii="Cambria Math" w:hAnsi="Cambria Math"/>
                </w:rPr>
              </m:ctrlPr>
            </m:sup>
          </m:sSubSup>
          <m:r>
            <m:rPr>
              <m:sty m:val="p"/>
            </m:rPr>
            <w:rPr>
              <w:rFonts w:ascii="Cambria Math" w:hAnsi="Cambria Math"/>
            </w:rPr>
            <m:t>=exp⁡(</m:t>
          </m:r>
          <m:r>
            <m:rPr/>
            <w:rPr>
              <w:rFonts w:ascii="Cambria Math" w:hAnsi="Cambria Math"/>
            </w:rPr>
            <m:t>α</m:t>
          </m:r>
          <m:r>
            <m:rPr>
              <m:sty m:val="p"/>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ϵ</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ctrlPr>
                <w:rPr>
                  <w:rFonts w:ascii="Cambria Math" w:hAnsi="Cambria Math"/>
                </w:rPr>
              </m:ctrlPr>
            </m:sub>
          </m:sSub>
          <m:r>
            <m:rPr>
              <m:sty m:val="p"/>
            </m:rPr>
            <w:rPr>
              <w:rFonts w:ascii="Cambria Math" w:hAnsi="Cambria Math"/>
            </w:rPr>
            <m:t>).</m:t>
          </m:r>
        </m:oMath>
      </m:oMathPara>
    </w:p>
    <w:p w14:paraId="6B0C5321">
      <w:pPr>
        <w:ind w:firstLine="480"/>
        <w:rPr>
          <w:rFonts w:hint="eastAsia"/>
        </w:rPr>
      </w:pPr>
      <w:r>
        <w:rPr>
          <w:rFonts w:hint="eastAsia"/>
        </w:rPr>
        <w:t>因此，引入</w:t>
      </w:r>
      <w:r>
        <w:rPr>
          <w:rFonts w:ascii="Georgia" w:hAnsi="Georgia" w:eastAsia="Georgia" w:cs="Georgia"/>
        </w:rPr>
        <w:t>“</w:t>
      </w:r>
      <w:r>
        <w:rPr>
          <w:rFonts w:hint="eastAsia"/>
        </w:rPr>
        <w:t>伟大教练</w:t>
      </w:r>
      <w:r>
        <w:rPr>
          <w:rFonts w:ascii="Georgia" w:hAnsi="Georgia" w:eastAsia="Georgia" w:cs="Georgia"/>
        </w:rPr>
        <w:t>”</w:t>
      </w:r>
      <w:r>
        <w:rPr>
          <w:rFonts w:hint="eastAsia"/>
        </w:rPr>
        <w:t>后的奖牌数倍增效应为：</w:t>
      </w:r>
    </w:p>
    <w:p w14:paraId="52DE0D0D">
      <w:pPr>
        <w:ind w:firstLine="480"/>
        <w:rPr>
          <w:rFonts w:hint="eastAsia"/>
        </w:rPr>
      </w:pPr>
      <m:oMathPara>
        <m:oMath>
          <m:f>
            <m:fPr>
              <m:ctrlPr>
                <w:rPr>
                  <w:rFonts w:ascii="Cambria Math" w:hAnsi="Cambria Math"/>
                </w:rPr>
              </m:ctrlPr>
            </m:fPr>
            <m:num>
              <m:sSub>
                <m:sSubPr>
                  <m:ctrlPr>
                    <w:rPr>
                      <w:rFonts w:ascii="Cambria Math" w:hAnsi="Cambria Math"/>
                    </w:rPr>
                  </m:ctrlPr>
                </m:sSubPr>
                <m:e>
                  <m:r>
                    <m:rPr/>
                    <w:rPr>
                      <w:rFonts w:ascii="Cambria Math" w:hAnsi="Cambria Math"/>
                    </w:rPr>
                    <m:t>λ</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ctrlPr>
                <w:rPr>
                  <w:rFonts w:ascii="Cambria Math" w:hAnsi="Cambria Math"/>
                </w:rPr>
              </m:ctrlPr>
            </m:num>
            <m:den>
              <m:sSubSup>
                <m:sSubSupPr>
                  <m:ctrlPr>
                    <w:rPr>
                      <w:rFonts w:ascii="Cambria Math" w:hAnsi="Cambria Math"/>
                    </w:rPr>
                  </m:ctrlPr>
                </m:sSubSupPr>
                <m:e>
                  <m:r>
                    <m:rPr/>
                    <w:rPr>
                      <w:rFonts w:ascii="Cambria Math" w:hAnsi="Cambria Math"/>
                    </w:rPr>
                    <m:t>λ</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up>
                  <m:r>
                    <m:rPr>
                      <m:sty m:val="p"/>
                    </m:rPr>
                    <w:rPr>
                      <w:rFonts w:ascii="Cambria Math" w:hAnsi="Cambria Math"/>
                    </w:rPr>
                    <m:t>'</m:t>
                  </m:r>
                  <m:ctrlPr>
                    <w:rPr>
                      <w:rFonts w:ascii="Cambria Math" w:hAnsi="Cambria Math"/>
                    </w:rPr>
                  </m:ctrlPr>
                </m:sup>
              </m:sSubSup>
              <m:ctrlPr>
                <w:rPr>
                  <w:rFonts w:ascii="Cambria Math" w:hAnsi="Cambria Math"/>
                </w:rPr>
              </m:ctrlPr>
            </m:den>
          </m:f>
          <m:r>
            <m:rPr>
              <m:sty m:val="p"/>
            </m:rPr>
            <w:rPr>
              <w:rFonts w:ascii="Cambria Math" w:hAnsi="Cambria Math"/>
            </w:rPr>
            <m:t>=exp⁡(</m:t>
          </m:r>
          <m:r>
            <m:rPr/>
            <w:rPr>
              <w:rFonts w:ascii="Cambria Math" w:hAnsi="Cambria Math"/>
            </w:rPr>
            <m:t>β</m:t>
          </m:r>
          <m:r>
            <m:rPr>
              <m:sty m:val="p"/>
            </m:rPr>
            <w:rPr>
              <w:rFonts w:ascii="Cambria Math" w:hAnsi="Cambria Math"/>
            </w:rPr>
            <m:t>).</m:t>
          </m:r>
        </m:oMath>
      </m:oMathPara>
    </w:p>
    <w:p w14:paraId="2BA79380">
      <w:pPr>
        <w:ind w:firstLine="480"/>
        <w:rPr>
          <w:rFonts w:hint="eastAsia"/>
        </w:rPr>
      </w:pPr>
      <w:r>
        <w:rPr>
          <w:rFonts w:hint="eastAsia"/>
        </w:rPr>
        <w:t>这一效应量化了</w:t>
      </w:r>
      <w:r>
        <w:rPr>
          <w:rFonts w:ascii="Georgia" w:hAnsi="Georgia" w:eastAsia="Georgia" w:cs="Georgia"/>
        </w:rPr>
        <w:t>“</w:t>
      </w:r>
      <w:r>
        <w:rPr>
          <w:rFonts w:hint="eastAsia"/>
        </w:rPr>
        <w:t>伟大教练</w:t>
      </w:r>
      <w:r>
        <w:rPr>
          <w:rFonts w:ascii="Georgia" w:hAnsi="Georgia" w:eastAsia="Georgia" w:cs="Georgia"/>
        </w:rPr>
        <w:t>”</w:t>
      </w:r>
      <w:r>
        <w:rPr>
          <w:rFonts w:hint="eastAsia"/>
        </w:rPr>
        <w:t>对奖牌数的具体贡献，表明在特定运动项目中引入</w:t>
      </w:r>
      <w:r>
        <w:rPr>
          <w:rFonts w:ascii="Georgia" w:hAnsi="Georgia" w:eastAsia="Georgia" w:cs="Georgia"/>
        </w:rPr>
        <w:t>“</w:t>
      </w:r>
      <w:r>
        <w:rPr>
          <w:rFonts w:hint="eastAsia"/>
        </w:rPr>
        <w:t>伟大教练</w:t>
      </w:r>
      <w:r>
        <w:rPr>
          <w:rFonts w:ascii="Georgia" w:hAnsi="Georgia" w:eastAsia="Georgia" w:cs="Georgia"/>
        </w:rPr>
        <w:t>”</w:t>
      </w:r>
      <w:r>
        <w:rPr>
          <w:rFonts w:hint="eastAsia"/>
        </w:rPr>
        <w:t>将使奖牌数增加一个固定的比例。</w:t>
      </w:r>
    </w:p>
    <w:p w14:paraId="56D25EEE">
      <w:pPr>
        <w:pStyle w:val="12"/>
        <w:rPr>
          <w:rFonts w:hint="eastAsia"/>
        </w:rPr>
      </w:pPr>
      <w:r>
        <w:rPr>
          <w:rFonts w:hint="eastAsia"/>
        </w:rPr>
        <w:t>5.2.6</w:t>
      </w:r>
      <w:r>
        <w:t xml:space="preserve"> </w:t>
      </w:r>
      <w:r>
        <w:rPr>
          <w:rFonts w:hint="eastAsia" w:ascii="宋体" w:hAnsi="宋体" w:eastAsia="宋体" w:cs="宋体"/>
        </w:rPr>
        <w:t>模型性能评估</w:t>
      </w:r>
    </w:p>
    <w:p w14:paraId="4BED9D20">
      <w:pPr>
        <w:ind w:firstLine="480"/>
        <w:rPr>
          <w:rFonts w:hint="eastAsia"/>
          <w:bCs/>
        </w:rPr>
      </w:pPr>
      <w:r>
        <w:rPr>
          <w:bCs/>
        </w:rPr>
        <w:t>过度分散检验</w:t>
      </w:r>
      <w:r>
        <w:rPr>
          <w:rFonts w:hint="eastAsia"/>
          <w:bCs/>
        </w:rPr>
        <w:t>，通过比较泊松回归模型中数据的均值与方差，判断是否存在过度分散现象。如果数据中方差显著大于均值，则需要考虑采用负二项回归模型以更好地拟合数据。</w:t>
      </w:r>
    </w:p>
    <w:p w14:paraId="75B1C3E4">
      <w:pPr>
        <w:ind w:firstLine="480"/>
        <w:rPr>
          <w:rFonts w:hint="eastAsia"/>
          <w:bCs/>
        </w:rPr>
      </w:pPr>
      <w:r>
        <w:rPr>
          <w:rFonts w:hint="eastAsia"/>
          <w:bCs/>
        </w:rPr>
        <w:t>评估</w:t>
      </w:r>
      <w:r>
        <w:rPr>
          <w:bCs/>
        </w:rPr>
        <w:t>固定效应的显著性</w:t>
      </w:r>
      <w:r>
        <w:rPr>
          <w:rFonts w:hint="eastAsia"/>
          <w:bCs/>
        </w:rPr>
        <w:t>，通过检验国家、运动项目和届次固定效应的回归系数是否显著，确保模型能够有效控制这些不变特质的影响。</w:t>
      </w:r>
    </w:p>
    <w:p w14:paraId="3FB4F7EA">
      <w:pPr>
        <w:ind w:firstLine="480"/>
        <w:rPr>
          <w:rFonts w:hint="eastAsia"/>
          <w:bCs/>
        </w:rPr>
      </w:pPr>
      <w:r>
        <w:rPr>
          <w:rFonts w:hint="eastAsia"/>
          <w:bCs/>
        </w:rPr>
        <w:t>利用赤池信息量准则（</w:t>
      </w:r>
      <w:r>
        <w:rPr>
          <w:rFonts w:ascii="Georgia" w:hAnsi="Georgia" w:eastAsia="Georgia" w:cs="Georgia"/>
          <w:bCs/>
        </w:rPr>
        <w:t>AIC</w:t>
      </w:r>
      <w:r>
        <w:rPr>
          <w:rFonts w:hint="eastAsia"/>
          <w:bCs/>
        </w:rPr>
        <w:t>）</w:t>
      </w:r>
      <w:r>
        <w:rPr>
          <w:bCs/>
        </w:rPr>
        <w:t>和</w:t>
      </w:r>
      <w:r>
        <w:rPr>
          <w:rFonts w:hint="eastAsia"/>
          <w:bCs/>
        </w:rPr>
        <w:t>贝叶斯信息量准则（</w:t>
      </w:r>
      <w:r>
        <w:rPr>
          <w:rFonts w:ascii="Georgia" w:hAnsi="Georgia" w:eastAsia="Georgia" w:cs="Georgia"/>
          <w:bCs/>
        </w:rPr>
        <w:t>BIC</w:t>
      </w:r>
      <w:r>
        <w:rPr>
          <w:rFonts w:hint="eastAsia"/>
          <w:bCs/>
        </w:rPr>
        <w:t>）等信息准则，比较不同模型的拟合效果，选择拟合优度更好的模型。通过这些指标，可以判断模型的复杂性与拟合效果之间的平衡，避免过拟合或欠拟合。</w:t>
      </w:r>
    </w:p>
    <w:p w14:paraId="1C97B00A">
      <w:pPr>
        <w:ind w:firstLine="480"/>
        <w:rPr>
          <w:rFonts w:hint="eastAsia"/>
          <w:bCs/>
        </w:rPr>
      </w:pPr>
      <w:r>
        <w:rPr>
          <w:rFonts w:hint="eastAsia"/>
          <w:bCs/>
        </w:rPr>
        <w:t>采用交叉验证（</w:t>
      </w:r>
      <w:r>
        <w:rPr>
          <w:rFonts w:ascii="Georgia" w:hAnsi="Georgia" w:eastAsia="Georgia" w:cs="Georgia"/>
          <w:bCs/>
        </w:rPr>
        <w:t>Cross-Validation</w:t>
      </w:r>
      <w:r>
        <w:rPr>
          <w:rFonts w:hint="eastAsia"/>
          <w:bCs/>
        </w:rPr>
        <w:t>）方法，评估模型在不同数据子集上的泛化能力，确保模型在新数据上的预测性能。通过这种方式，可以验证模型的稳定性和鲁棒性，提高其在实际应用中的可靠性。</w:t>
      </w:r>
    </w:p>
    <w:p w14:paraId="0B1D0123">
      <w:pPr>
        <w:pStyle w:val="12"/>
        <w:rPr>
          <w:rFonts w:ascii="宋体" w:hAnsi="宋体" w:eastAsia="宋体" w:cs="宋体"/>
        </w:rPr>
      </w:pPr>
      <w:r>
        <w:rPr>
          <w:rFonts w:hint="eastAsia"/>
        </w:rPr>
        <w:t xml:space="preserve">5.2.7 </w:t>
      </w:r>
      <w:r>
        <w:rPr>
          <w:rFonts w:hint="eastAsia" w:ascii="宋体" w:hAnsi="宋体" w:eastAsia="宋体" w:cs="宋体"/>
        </w:rPr>
        <w:t>具体结果</w:t>
      </w:r>
    </w:p>
    <w:p w14:paraId="492EEB75">
      <w:pPr>
        <w:ind w:firstLine="480"/>
        <w:rPr>
          <w:rFonts w:hint="eastAsia"/>
        </w:rPr>
      </w:pPr>
      <w:r>
        <w:t>以下图表展示了这些国家的预测奖牌数量及其不确定性，通过图中的蓝色点表示预测的中值，黄色错误线表示预测区间，提供了一个直观的视图来理解各国在未来奥运会中可能的表现。</w:t>
      </w:r>
    </w:p>
    <w:p w14:paraId="73A9BC41">
      <w:pPr>
        <w:pStyle w:val="36"/>
      </w:pPr>
      <w:r>
        <w:drawing>
          <wp:inline distT="0" distB="0" distL="0" distR="0">
            <wp:extent cx="6188710" cy="3536315"/>
            <wp:effectExtent l="0" t="0" r="2540" b="6985"/>
            <wp:docPr id="17420516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51619" name="图片 1"/>
                    <pic:cNvPicPr>
                      <a:picLocks noChangeAspect="1"/>
                    </pic:cNvPicPr>
                  </pic:nvPicPr>
                  <pic:blipFill>
                    <a:blip r:embed="rId19"/>
                    <a:stretch>
                      <a:fillRect/>
                    </a:stretch>
                  </pic:blipFill>
                  <pic:spPr>
                    <a:xfrm>
                      <a:off x="0" y="0"/>
                      <a:ext cx="6188710" cy="3536315"/>
                    </a:xfrm>
                    <a:prstGeom prst="rect">
                      <a:avLst/>
                    </a:prstGeom>
                  </pic:spPr>
                </pic:pic>
              </a:graphicData>
            </a:graphic>
          </wp:inline>
        </w:drawing>
      </w:r>
    </w:p>
    <w:p w14:paraId="3279F78B">
      <w:pPr>
        <w:widowControl/>
        <w:tabs>
          <w:tab w:val="left" w:pos="5040"/>
        </w:tabs>
        <w:ind w:firstLine="440"/>
        <w:jc w:val="left"/>
        <w:rPr>
          <w:kern w:val="0"/>
          <w:sz w:val="22"/>
          <w:szCs w:val="22"/>
        </w:rPr>
      </w:pPr>
      <w:r>
        <w:rPr>
          <w:kern w:val="0"/>
          <w:sz w:val="22"/>
          <w:szCs w:val="22"/>
        </w:rPr>
        <w:t>从图中可以观察到，大多数参与的小国奖牌数预测值较低，预测区间广泛，这表明虽然这些国家获得大量奖牌的可能性较小，但在特定条件下可能会有较好表现。这种广泛的预测区间反映了在奖牌预测中存在的高度不确定性，这种不确定性可能源于参赛运动员的具体能力、赛前准备和比赛日的实际表现等多种因素的变化。</w:t>
      </w:r>
    </w:p>
    <w:p w14:paraId="4C5E5596">
      <w:pPr>
        <w:widowControl/>
        <w:tabs>
          <w:tab w:val="left" w:pos="5040"/>
        </w:tabs>
        <w:ind w:firstLine="440"/>
        <w:jc w:val="left"/>
        <w:rPr>
          <w:kern w:val="0"/>
          <w:sz w:val="22"/>
          <w:szCs w:val="22"/>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2"/>
        <w:gridCol w:w="1622"/>
        <w:gridCol w:w="1623"/>
        <w:gridCol w:w="1623"/>
        <w:gridCol w:w="1623"/>
        <w:gridCol w:w="1623"/>
      </w:tblGrid>
      <w:tr w14:paraId="4BC6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tcBorders>
              <w:top w:val="single" w:color="auto" w:sz="18" w:space="0"/>
              <w:bottom w:val="single" w:color="auto" w:sz="8" w:space="0"/>
            </w:tcBorders>
            <w:vAlign w:val="center"/>
          </w:tcPr>
          <w:p w14:paraId="798BC0E4">
            <w:pPr>
              <w:widowControl/>
              <w:tabs>
                <w:tab w:val="left" w:pos="5040"/>
              </w:tabs>
              <w:ind w:firstLine="0" w:firstLineChars="0"/>
              <w:jc w:val="left"/>
              <w:rPr>
                <w:rFonts w:hint="eastAsia" w:ascii="宋体" w:hAnsi="宋体"/>
                <w:kern w:val="0"/>
                <w:sz w:val="22"/>
                <w:szCs w:val="22"/>
              </w:rPr>
            </w:pPr>
            <w:r>
              <w:rPr>
                <w:rFonts w:hint="eastAsia" w:ascii="宋体" w:hAnsi="宋体"/>
                <w:b/>
                <w:bCs/>
                <w:color w:val="000000"/>
                <w:sz w:val="22"/>
                <w:szCs w:val="22"/>
              </w:rPr>
              <w:t>国家/地区</w:t>
            </w:r>
          </w:p>
        </w:tc>
        <w:tc>
          <w:tcPr>
            <w:tcW w:w="1622" w:type="dxa"/>
            <w:tcBorders>
              <w:top w:val="single" w:color="auto" w:sz="18" w:space="0"/>
              <w:bottom w:val="single" w:color="auto" w:sz="8" w:space="0"/>
            </w:tcBorders>
            <w:vAlign w:val="center"/>
          </w:tcPr>
          <w:p w14:paraId="0173D5E8">
            <w:pPr>
              <w:widowControl/>
              <w:tabs>
                <w:tab w:val="left" w:pos="5040"/>
              </w:tabs>
              <w:ind w:firstLine="0" w:firstLineChars="0"/>
              <w:jc w:val="left"/>
              <w:rPr>
                <w:rFonts w:hint="eastAsia" w:ascii="宋体" w:hAnsi="宋体"/>
                <w:kern w:val="0"/>
                <w:sz w:val="22"/>
                <w:szCs w:val="22"/>
              </w:rPr>
            </w:pPr>
            <w:r>
              <w:rPr>
                <w:rFonts w:hint="eastAsia" w:ascii="宋体" w:hAnsi="宋体"/>
                <w:b/>
                <w:bCs/>
                <w:color w:val="000000"/>
                <w:sz w:val="22"/>
                <w:szCs w:val="22"/>
              </w:rPr>
              <w:t>运动项目</w:t>
            </w:r>
          </w:p>
        </w:tc>
        <w:tc>
          <w:tcPr>
            <w:tcW w:w="1623" w:type="dxa"/>
            <w:tcBorders>
              <w:top w:val="single" w:color="auto" w:sz="18" w:space="0"/>
              <w:bottom w:val="single" w:color="auto" w:sz="8" w:space="0"/>
            </w:tcBorders>
            <w:vAlign w:val="center"/>
          </w:tcPr>
          <w:p w14:paraId="53E1C81F">
            <w:pPr>
              <w:widowControl/>
              <w:tabs>
                <w:tab w:val="left" w:pos="5040"/>
              </w:tabs>
              <w:ind w:firstLine="0" w:firstLineChars="0"/>
              <w:jc w:val="left"/>
              <w:rPr>
                <w:rFonts w:hint="eastAsia" w:ascii="宋体" w:hAnsi="宋体"/>
                <w:kern w:val="0"/>
                <w:sz w:val="22"/>
                <w:szCs w:val="22"/>
              </w:rPr>
            </w:pPr>
            <w:r>
              <w:rPr>
                <w:rFonts w:hint="eastAsia" w:ascii="宋体" w:hAnsi="宋体"/>
                <w:b/>
                <w:bCs/>
                <w:color w:val="000000"/>
                <w:sz w:val="22"/>
                <w:szCs w:val="22"/>
              </w:rPr>
              <w:t>状态</w:t>
            </w:r>
          </w:p>
        </w:tc>
        <w:tc>
          <w:tcPr>
            <w:tcW w:w="1623" w:type="dxa"/>
            <w:tcBorders>
              <w:top w:val="single" w:color="auto" w:sz="18" w:space="0"/>
              <w:bottom w:val="single" w:color="auto" w:sz="8" w:space="0"/>
            </w:tcBorders>
            <w:vAlign w:val="center"/>
          </w:tcPr>
          <w:p w14:paraId="17C738DD">
            <w:pPr>
              <w:widowControl/>
              <w:tabs>
                <w:tab w:val="left" w:pos="5040"/>
              </w:tabs>
              <w:ind w:firstLine="0" w:firstLineChars="0"/>
              <w:jc w:val="left"/>
              <w:rPr>
                <w:rFonts w:hint="eastAsia" w:ascii="宋体" w:hAnsi="宋体"/>
                <w:kern w:val="0"/>
                <w:sz w:val="22"/>
                <w:szCs w:val="22"/>
              </w:rPr>
            </w:pPr>
            <w:r>
              <w:rPr>
                <w:rFonts w:hint="eastAsia" w:ascii="宋体" w:hAnsi="宋体"/>
                <w:b/>
                <w:bCs/>
                <w:color w:val="000000"/>
                <w:sz w:val="22"/>
                <w:szCs w:val="22"/>
              </w:rPr>
              <w:t>预测金牌数</w:t>
            </w:r>
          </w:p>
        </w:tc>
        <w:tc>
          <w:tcPr>
            <w:tcW w:w="1623" w:type="dxa"/>
            <w:tcBorders>
              <w:top w:val="single" w:color="auto" w:sz="18" w:space="0"/>
              <w:bottom w:val="single" w:color="auto" w:sz="8" w:space="0"/>
            </w:tcBorders>
            <w:vAlign w:val="center"/>
          </w:tcPr>
          <w:p w14:paraId="50DD2EEE">
            <w:pPr>
              <w:widowControl/>
              <w:tabs>
                <w:tab w:val="left" w:pos="5040"/>
              </w:tabs>
              <w:ind w:firstLine="0" w:firstLineChars="0"/>
              <w:jc w:val="left"/>
              <w:rPr>
                <w:rFonts w:hint="eastAsia" w:ascii="宋体" w:hAnsi="宋体"/>
                <w:kern w:val="0"/>
                <w:sz w:val="22"/>
                <w:szCs w:val="22"/>
              </w:rPr>
            </w:pPr>
            <w:r>
              <w:rPr>
                <w:rFonts w:hint="eastAsia" w:ascii="宋体" w:hAnsi="宋体"/>
                <w:b/>
                <w:bCs/>
                <w:color w:val="000000"/>
                <w:sz w:val="22"/>
                <w:szCs w:val="22"/>
              </w:rPr>
              <w:t>获得第一枚金牌的概率</w:t>
            </w:r>
          </w:p>
        </w:tc>
        <w:tc>
          <w:tcPr>
            <w:tcW w:w="1623" w:type="dxa"/>
            <w:tcBorders>
              <w:top w:val="single" w:color="auto" w:sz="18" w:space="0"/>
              <w:bottom w:val="single" w:color="auto" w:sz="8" w:space="0"/>
            </w:tcBorders>
            <w:vAlign w:val="center"/>
          </w:tcPr>
          <w:p w14:paraId="505E4696">
            <w:pPr>
              <w:widowControl/>
              <w:tabs>
                <w:tab w:val="left" w:pos="5040"/>
              </w:tabs>
              <w:ind w:firstLine="0" w:firstLineChars="0"/>
              <w:jc w:val="left"/>
              <w:rPr>
                <w:rFonts w:hint="eastAsia" w:ascii="宋体" w:hAnsi="宋体"/>
                <w:kern w:val="0"/>
                <w:sz w:val="22"/>
                <w:szCs w:val="22"/>
              </w:rPr>
            </w:pPr>
            <w:r>
              <w:rPr>
                <w:rFonts w:hint="eastAsia" w:ascii="宋体" w:hAnsi="宋体"/>
                <w:b/>
                <w:bCs/>
                <w:color w:val="000000"/>
                <w:sz w:val="22"/>
                <w:szCs w:val="22"/>
              </w:rPr>
              <w:t>赔率</w:t>
            </w:r>
          </w:p>
        </w:tc>
      </w:tr>
      <w:tr w14:paraId="2DC6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tcBorders>
              <w:top w:val="single" w:color="auto" w:sz="8" w:space="0"/>
            </w:tcBorders>
            <w:vAlign w:val="center"/>
          </w:tcPr>
          <w:p w14:paraId="266A0267">
            <w:pPr>
              <w:widowControl/>
              <w:tabs>
                <w:tab w:val="left" w:pos="5040"/>
              </w:tabs>
              <w:ind w:firstLine="0" w:firstLineChars="0"/>
              <w:jc w:val="left"/>
              <w:rPr>
                <w:kern w:val="0"/>
                <w:sz w:val="22"/>
                <w:szCs w:val="22"/>
              </w:rPr>
            </w:pPr>
            <w:r>
              <w:rPr>
                <w:color w:val="000000"/>
                <w:sz w:val="22"/>
                <w:szCs w:val="22"/>
              </w:rPr>
              <w:t>ISL</w:t>
            </w:r>
          </w:p>
        </w:tc>
        <w:tc>
          <w:tcPr>
            <w:tcW w:w="1622" w:type="dxa"/>
            <w:tcBorders>
              <w:top w:val="single" w:color="auto" w:sz="8" w:space="0"/>
            </w:tcBorders>
            <w:vAlign w:val="center"/>
          </w:tcPr>
          <w:p w14:paraId="4BEAE85B">
            <w:pPr>
              <w:widowControl/>
              <w:tabs>
                <w:tab w:val="left" w:pos="5040"/>
              </w:tabs>
              <w:ind w:firstLine="0" w:firstLineChars="0"/>
              <w:jc w:val="left"/>
              <w:rPr>
                <w:kern w:val="0"/>
                <w:sz w:val="22"/>
                <w:szCs w:val="22"/>
              </w:rPr>
            </w:pPr>
            <w:r>
              <w:rPr>
                <w:color w:val="000000"/>
                <w:sz w:val="22"/>
                <w:szCs w:val="22"/>
              </w:rPr>
              <w:t>Handball</w:t>
            </w:r>
          </w:p>
        </w:tc>
        <w:tc>
          <w:tcPr>
            <w:tcW w:w="1623" w:type="dxa"/>
            <w:tcBorders>
              <w:top w:val="single" w:color="auto" w:sz="8" w:space="0"/>
            </w:tcBorders>
            <w:vAlign w:val="center"/>
          </w:tcPr>
          <w:p w14:paraId="0DE0DB14">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有伟大教练</w:t>
            </w:r>
          </w:p>
        </w:tc>
        <w:tc>
          <w:tcPr>
            <w:tcW w:w="1623" w:type="dxa"/>
            <w:tcBorders>
              <w:top w:val="single" w:color="auto" w:sz="8" w:space="0"/>
            </w:tcBorders>
            <w:vAlign w:val="center"/>
          </w:tcPr>
          <w:p w14:paraId="064156F3">
            <w:pPr>
              <w:widowControl/>
              <w:tabs>
                <w:tab w:val="left" w:pos="5040"/>
              </w:tabs>
              <w:ind w:firstLine="0" w:firstLineChars="0"/>
              <w:jc w:val="left"/>
              <w:rPr>
                <w:kern w:val="0"/>
                <w:sz w:val="22"/>
                <w:szCs w:val="22"/>
              </w:rPr>
            </w:pPr>
            <w:r>
              <w:rPr>
                <w:color w:val="000000"/>
                <w:sz w:val="22"/>
                <w:szCs w:val="22"/>
              </w:rPr>
              <w:t>15.17</w:t>
            </w:r>
          </w:p>
        </w:tc>
        <w:tc>
          <w:tcPr>
            <w:tcW w:w="1623" w:type="dxa"/>
            <w:tcBorders>
              <w:top w:val="single" w:color="auto" w:sz="8" w:space="0"/>
            </w:tcBorders>
            <w:vAlign w:val="center"/>
          </w:tcPr>
          <w:p w14:paraId="13B16319">
            <w:pPr>
              <w:widowControl/>
              <w:tabs>
                <w:tab w:val="left" w:pos="5040"/>
              </w:tabs>
              <w:ind w:firstLine="0" w:firstLineChars="0"/>
              <w:jc w:val="left"/>
              <w:rPr>
                <w:kern w:val="0"/>
                <w:sz w:val="22"/>
                <w:szCs w:val="22"/>
              </w:rPr>
            </w:pPr>
            <w:r>
              <w:rPr>
                <w:color w:val="000000"/>
                <w:sz w:val="22"/>
                <w:szCs w:val="22"/>
              </w:rPr>
              <w:t>100.00%</w:t>
            </w:r>
          </w:p>
        </w:tc>
        <w:tc>
          <w:tcPr>
            <w:tcW w:w="1623" w:type="dxa"/>
            <w:tcBorders>
              <w:top w:val="single" w:color="auto" w:sz="8" w:space="0"/>
            </w:tcBorders>
            <w:vAlign w:val="center"/>
          </w:tcPr>
          <w:p w14:paraId="1733801D">
            <w:pPr>
              <w:widowControl/>
              <w:tabs>
                <w:tab w:val="left" w:pos="5040"/>
              </w:tabs>
              <w:ind w:firstLine="0" w:firstLineChars="0"/>
              <w:jc w:val="left"/>
              <w:rPr>
                <w:kern w:val="0"/>
                <w:sz w:val="22"/>
                <w:szCs w:val="22"/>
              </w:rPr>
            </w:pPr>
            <w:r>
              <w:rPr>
                <w:color w:val="000000"/>
                <w:sz w:val="22"/>
                <w:szCs w:val="22"/>
              </w:rPr>
              <w:t>3860182</w:t>
            </w:r>
          </w:p>
        </w:tc>
      </w:tr>
      <w:tr w14:paraId="7DA8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vAlign w:val="center"/>
          </w:tcPr>
          <w:p w14:paraId="379C823E">
            <w:pPr>
              <w:widowControl/>
              <w:tabs>
                <w:tab w:val="left" w:pos="5040"/>
              </w:tabs>
              <w:ind w:firstLine="0" w:firstLineChars="0"/>
              <w:jc w:val="left"/>
              <w:rPr>
                <w:kern w:val="0"/>
                <w:sz w:val="22"/>
                <w:szCs w:val="22"/>
              </w:rPr>
            </w:pPr>
            <w:r>
              <w:rPr>
                <w:color w:val="000000"/>
                <w:sz w:val="22"/>
                <w:szCs w:val="22"/>
              </w:rPr>
              <w:t>GHA</w:t>
            </w:r>
          </w:p>
        </w:tc>
        <w:tc>
          <w:tcPr>
            <w:tcW w:w="1622" w:type="dxa"/>
            <w:vAlign w:val="center"/>
          </w:tcPr>
          <w:p w14:paraId="0A3D506E">
            <w:pPr>
              <w:widowControl/>
              <w:tabs>
                <w:tab w:val="left" w:pos="5040"/>
              </w:tabs>
              <w:ind w:firstLine="0" w:firstLineChars="0"/>
              <w:jc w:val="left"/>
              <w:rPr>
                <w:kern w:val="0"/>
                <w:sz w:val="22"/>
                <w:szCs w:val="22"/>
              </w:rPr>
            </w:pPr>
            <w:r>
              <w:rPr>
                <w:color w:val="000000"/>
                <w:sz w:val="22"/>
                <w:szCs w:val="22"/>
              </w:rPr>
              <w:t>Athletics</w:t>
            </w:r>
          </w:p>
        </w:tc>
        <w:tc>
          <w:tcPr>
            <w:tcW w:w="1623" w:type="dxa"/>
            <w:vAlign w:val="center"/>
          </w:tcPr>
          <w:p w14:paraId="6D433F82">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有伟大教练</w:t>
            </w:r>
          </w:p>
        </w:tc>
        <w:tc>
          <w:tcPr>
            <w:tcW w:w="1623" w:type="dxa"/>
            <w:vAlign w:val="center"/>
          </w:tcPr>
          <w:p w14:paraId="47E85D3B">
            <w:pPr>
              <w:widowControl/>
              <w:tabs>
                <w:tab w:val="left" w:pos="5040"/>
              </w:tabs>
              <w:ind w:firstLine="0" w:firstLineChars="0"/>
              <w:jc w:val="left"/>
              <w:rPr>
                <w:kern w:val="0"/>
                <w:sz w:val="22"/>
                <w:szCs w:val="22"/>
              </w:rPr>
            </w:pPr>
            <w:r>
              <w:rPr>
                <w:color w:val="000000"/>
                <w:sz w:val="22"/>
                <w:szCs w:val="22"/>
              </w:rPr>
              <w:t>3.1</w:t>
            </w:r>
          </w:p>
        </w:tc>
        <w:tc>
          <w:tcPr>
            <w:tcW w:w="1623" w:type="dxa"/>
            <w:vAlign w:val="center"/>
          </w:tcPr>
          <w:p w14:paraId="384D75C7">
            <w:pPr>
              <w:widowControl/>
              <w:tabs>
                <w:tab w:val="left" w:pos="5040"/>
              </w:tabs>
              <w:ind w:firstLine="0" w:firstLineChars="0"/>
              <w:jc w:val="left"/>
              <w:rPr>
                <w:kern w:val="0"/>
                <w:sz w:val="22"/>
                <w:szCs w:val="22"/>
              </w:rPr>
            </w:pPr>
            <w:r>
              <w:rPr>
                <w:color w:val="000000"/>
                <w:sz w:val="22"/>
                <w:szCs w:val="22"/>
              </w:rPr>
              <w:t>95.51%</w:t>
            </w:r>
          </w:p>
        </w:tc>
        <w:tc>
          <w:tcPr>
            <w:tcW w:w="1623" w:type="dxa"/>
            <w:vAlign w:val="center"/>
          </w:tcPr>
          <w:p w14:paraId="0EAC28DD">
            <w:pPr>
              <w:widowControl/>
              <w:tabs>
                <w:tab w:val="left" w:pos="5040"/>
              </w:tabs>
              <w:ind w:firstLine="0" w:firstLineChars="0"/>
              <w:jc w:val="left"/>
              <w:rPr>
                <w:kern w:val="0"/>
                <w:sz w:val="22"/>
                <w:szCs w:val="22"/>
              </w:rPr>
            </w:pPr>
            <w:r>
              <w:rPr>
                <w:color w:val="000000"/>
                <w:sz w:val="22"/>
                <w:szCs w:val="22"/>
              </w:rPr>
              <w:t>21.27</w:t>
            </w:r>
          </w:p>
        </w:tc>
      </w:tr>
      <w:tr w14:paraId="508A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vAlign w:val="center"/>
          </w:tcPr>
          <w:p w14:paraId="410682CD">
            <w:pPr>
              <w:widowControl/>
              <w:tabs>
                <w:tab w:val="left" w:pos="5040"/>
              </w:tabs>
              <w:ind w:firstLine="0" w:firstLineChars="0"/>
              <w:jc w:val="left"/>
              <w:rPr>
                <w:kern w:val="0"/>
                <w:sz w:val="22"/>
                <w:szCs w:val="22"/>
              </w:rPr>
            </w:pPr>
            <w:r>
              <w:rPr>
                <w:color w:val="000000"/>
                <w:sz w:val="22"/>
                <w:szCs w:val="22"/>
              </w:rPr>
              <w:t>IRQ</w:t>
            </w:r>
          </w:p>
        </w:tc>
        <w:tc>
          <w:tcPr>
            <w:tcW w:w="1622" w:type="dxa"/>
            <w:vAlign w:val="center"/>
          </w:tcPr>
          <w:p w14:paraId="31D4D1B5">
            <w:pPr>
              <w:widowControl/>
              <w:tabs>
                <w:tab w:val="left" w:pos="5040"/>
              </w:tabs>
              <w:ind w:firstLine="0" w:firstLineChars="0"/>
              <w:jc w:val="left"/>
              <w:rPr>
                <w:kern w:val="0"/>
                <w:sz w:val="22"/>
                <w:szCs w:val="22"/>
              </w:rPr>
            </w:pPr>
            <w:r>
              <w:rPr>
                <w:color w:val="000000"/>
                <w:sz w:val="22"/>
                <w:szCs w:val="22"/>
              </w:rPr>
              <w:t>Weightlifting</w:t>
            </w:r>
          </w:p>
        </w:tc>
        <w:tc>
          <w:tcPr>
            <w:tcW w:w="1623" w:type="dxa"/>
            <w:vAlign w:val="center"/>
          </w:tcPr>
          <w:p w14:paraId="4C7DE16C">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有伟大教练</w:t>
            </w:r>
          </w:p>
        </w:tc>
        <w:tc>
          <w:tcPr>
            <w:tcW w:w="1623" w:type="dxa"/>
            <w:vAlign w:val="center"/>
          </w:tcPr>
          <w:p w14:paraId="143DCFD1">
            <w:pPr>
              <w:widowControl/>
              <w:tabs>
                <w:tab w:val="left" w:pos="5040"/>
              </w:tabs>
              <w:ind w:firstLine="0" w:firstLineChars="0"/>
              <w:jc w:val="left"/>
              <w:rPr>
                <w:kern w:val="0"/>
                <w:sz w:val="22"/>
                <w:szCs w:val="22"/>
              </w:rPr>
            </w:pPr>
            <w:r>
              <w:rPr>
                <w:color w:val="000000"/>
                <w:sz w:val="22"/>
                <w:szCs w:val="22"/>
              </w:rPr>
              <w:t>1.64</w:t>
            </w:r>
          </w:p>
        </w:tc>
        <w:tc>
          <w:tcPr>
            <w:tcW w:w="1623" w:type="dxa"/>
            <w:vAlign w:val="center"/>
          </w:tcPr>
          <w:p w14:paraId="225A47C4">
            <w:pPr>
              <w:widowControl/>
              <w:tabs>
                <w:tab w:val="left" w:pos="5040"/>
              </w:tabs>
              <w:ind w:firstLine="0" w:firstLineChars="0"/>
              <w:jc w:val="left"/>
              <w:rPr>
                <w:kern w:val="0"/>
                <w:sz w:val="22"/>
                <w:szCs w:val="22"/>
              </w:rPr>
            </w:pPr>
            <w:r>
              <w:rPr>
                <w:color w:val="000000"/>
                <w:sz w:val="22"/>
                <w:szCs w:val="22"/>
              </w:rPr>
              <w:t>80.63%</w:t>
            </w:r>
          </w:p>
        </w:tc>
        <w:tc>
          <w:tcPr>
            <w:tcW w:w="1623" w:type="dxa"/>
            <w:vAlign w:val="center"/>
          </w:tcPr>
          <w:p w14:paraId="7C7FDE93">
            <w:pPr>
              <w:widowControl/>
              <w:tabs>
                <w:tab w:val="left" w:pos="5040"/>
              </w:tabs>
              <w:ind w:firstLine="0" w:firstLineChars="0"/>
              <w:jc w:val="left"/>
              <w:rPr>
                <w:kern w:val="0"/>
                <w:sz w:val="22"/>
                <w:szCs w:val="22"/>
              </w:rPr>
            </w:pPr>
            <w:r>
              <w:rPr>
                <w:color w:val="000000"/>
                <w:sz w:val="22"/>
                <w:szCs w:val="22"/>
              </w:rPr>
              <w:t>4.16</w:t>
            </w:r>
          </w:p>
        </w:tc>
      </w:tr>
      <w:tr w14:paraId="68C3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vAlign w:val="center"/>
          </w:tcPr>
          <w:p w14:paraId="73020753">
            <w:pPr>
              <w:widowControl/>
              <w:tabs>
                <w:tab w:val="left" w:pos="5040"/>
              </w:tabs>
              <w:ind w:firstLine="0" w:firstLineChars="0"/>
              <w:jc w:val="left"/>
              <w:rPr>
                <w:kern w:val="0"/>
                <w:sz w:val="22"/>
                <w:szCs w:val="22"/>
              </w:rPr>
            </w:pPr>
            <w:r>
              <w:rPr>
                <w:color w:val="000000"/>
                <w:sz w:val="22"/>
                <w:szCs w:val="22"/>
              </w:rPr>
              <w:t>MAS</w:t>
            </w:r>
          </w:p>
        </w:tc>
        <w:tc>
          <w:tcPr>
            <w:tcW w:w="1622" w:type="dxa"/>
            <w:vAlign w:val="center"/>
          </w:tcPr>
          <w:p w14:paraId="2FE0022D">
            <w:pPr>
              <w:widowControl/>
              <w:tabs>
                <w:tab w:val="left" w:pos="5040"/>
              </w:tabs>
              <w:ind w:firstLine="0" w:firstLineChars="0"/>
              <w:jc w:val="left"/>
              <w:rPr>
                <w:kern w:val="0"/>
                <w:sz w:val="22"/>
                <w:szCs w:val="22"/>
              </w:rPr>
            </w:pPr>
            <w:r>
              <w:rPr>
                <w:color w:val="000000"/>
                <w:sz w:val="22"/>
                <w:szCs w:val="22"/>
              </w:rPr>
              <w:t>Badminton</w:t>
            </w:r>
          </w:p>
        </w:tc>
        <w:tc>
          <w:tcPr>
            <w:tcW w:w="1623" w:type="dxa"/>
            <w:vAlign w:val="center"/>
          </w:tcPr>
          <w:p w14:paraId="3FC0381D">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有伟大教练</w:t>
            </w:r>
          </w:p>
        </w:tc>
        <w:tc>
          <w:tcPr>
            <w:tcW w:w="1623" w:type="dxa"/>
            <w:vAlign w:val="center"/>
          </w:tcPr>
          <w:p w14:paraId="4C357A1D">
            <w:pPr>
              <w:widowControl/>
              <w:tabs>
                <w:tab w:val="left" w:pos="5040"/>
              </w:tabs>
              <w:ind w:firstLine="0" w:firstLineChars="0"/>
              <w:jc w:val="left"/>
              <w:rPr>
                <w:kern w:val="0"/>
                <w:sz w:val="22"/>
                <w:szCs w:val="22"/>
              </w:rPr>
            </w:pPr>
            <w:r>
              <w:rPr>
                <w:color w:val="000000"/>
                <w:sz w:val="22"/>
                <w:szCs w:val="22"/>
              </w:rPr>
              <w:t>2.49</w:t>
            </w:r>
          </w:p>
        </w:tc>
        <w:tc>
          <w:tcPr>
            <w:tcW w:w="1623" w:type="dxa"/>
            <w:vAlign w:val="center"/>
          </w:tcPr>
          <w:p w14:paraId="3A9A929C">
            <w:pPr>
              <w:widowControl/>
              <w:tabs>
                <w:tab w:val="left" w:pos="5040"/>
              </w:tabs>
              <w:ind w:firstLine="0" w:firstLineChars="0"/>
              <w:jc w:val="left"/>
              <w:rPr>
                <w:kern w:val="0"/>
                <w:sz w:val="22"/>
                <w:szCs w:val="22"/>
              </w:rPr>
            </w:pPr>
            <w:r>
              <w:rPr>
                <w:color w:val="000000"/>
                <w:sz w:val="22"/>
                <w:szCs w:val="22"/>
              </w:rPr>
              <w:t>91.75%</w:t>
            </w:r>
          </w:p>
        </w:tc>
        <w:tc>
          <w:tcPr>
            <w:tcW w:w="1623" w:type="dxa"/>
            <w:vAlign w:val="center"/>
          </w:tcPr>
          <w:p w14:paraId="56F74FF9">
            <w:pPr>
              <w:widowControl/>
              <w:tabs>
                <w:tab w:val="left" w:pos="5040"/>
              </w:tabs>
              <w:ind w:firstLine="0" w:firstLineChars="0"/>
              <w:jc w:val="left"/>
              <w:rPr>
                <w:kern w:val="0"/>
                <w:sz w:val="22"/>
                <w:szCs w:val="22"/>
              </w:rPr>
            </w:pPr>
            <w:r>
              <w:rPr>
                <w:color w:val="000000"/>
                <w:sz w:val="22"/>
                <w:szCs w:val="22"/>
              </w:rPr>
              <w:t>11.12</w:t>
            </w:r>
          </w:p>
        </w:tc>
      </w:tr>
      <w:tr w14:paraId="7F6B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vAlign w:val="center"/>
          </w:tcPr>
          <w:p w14:paraId="40605800">
            <w:pPr>
              <w:widowControl/>
              <w:tabs>
                <w:tab w:val="left" w:pos="5040"/>
              </w:tabs>
              <w:ind w:firstLine="0" w:firstLineChars="0"/>
              <w:jc w:val="left"/>
              <w:rPr>
                <w:kern w:val="0"/>
                <w:sz w:val="22"/>
                <w:szCs w:val="22"/>
              </w:rPr>
            </w:pPr>
            <w:r>
              <w:rPr>
                <w:color w:val="000000"/>
                <w:sz w:val="22"/>
                <w:szCs w:val="22"/>
              </w:rPr>
              <w:t>KUW</w:t>
            </w:r>
          </w:p>
        </w:tc>
        <w:tc>
          <w:tcPr>
            <w:tcW w:w="1622" w:type="dxa"/>
            <w:vAlign w:val="center"/>
          </w:tcPr>
          <w:p w14:paraId="4B1CD92F">
            <w:pPr>
              <w:widowControl/>
              <w:tabs>
                <w:tab w:val="left" w:pos="5040"/>
              </w:tabs>
              <w:ind w:firstLine="0" w:firstLineChars="0"/>
              <w:jc w:val="left"/>
              <w:rPr>
                <w:kern w:val="0"/>
                <w:sz w:val="22"/>
                <w:szCs w:val="22"/>
              </w:rPr>
            </w:pPr>
            <w:r>
              <w:rPr>
                <w:color w:val="000000"/>
                <w:sz w:val="22"/>
                <w:szCs w:val="22"/>
              </w:rPr>
              <w:t>Shooting</w:t>
            </w:r>
          </w:p>
        </w:tc>
        <w:tc>
          <w:tcPr>
            <w:tcW w:w="1623" w:type="dxa"/>
            <w:vAlign w:val="center"/>
          </w:tcPr>
          <w:p w14:paraId="2CC4AA1B">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有伟大教练</w:t>
            </w:r>
          </w:p>
        </w:tc>
        <w:tc>
          <w:tcPr>
            <w:tcW w:w="1623" w:type="dxa"/>
            <w:vAlign w:val="center"/>
          </w:tcPr>
          <w:p w14:paraId="0FBE92F8">
            <w:pPr>
              <w:widowControl/>
              <w:tabs>
                <w:tab w:val="left" w:pos="5040"/>
              </w:tabs>
              <w:ind w:firstLine="0" w:firstLineChars="0"/>
              <w:jc w:val="left"/>
              <w:rPr>
                <w:kern w:val="0"/>
                <w:sz w:val="22"/>
                <w:szCs w:val="22"/>
              </w:rPr>
            </w:pPr>
            <w:r>
              <w:rPr>
                <w:color w:val="000000"/>
                <w:sz w:val="22"/>
                <w:szCs w:val="22"/>
              </w:rPr>
              <w:t>1.99</w:t>
            </w:r>
          </w:p>
        </w:tc>
        <w:tc>
          <w:tcPr>
            <w:tcW w:w="1623" w:type="dxa"/>
            <w:vAlign w:val="center"/>
          </w:tcPr>
          <w:p w14:paraId="1D1900AC">
            <w:pPr>
              <w:widowControl/>
              <w:tabs>
                <w:tab w:val="left" w:pos="5040"/>
              </w:tabs>
              <w:ind w:firstLine="0" w:firstLineChars="0"/>
              <w:jc w:val="left"/>
              <w:rPr>
                <w:kern w:val="0"/>
                <w:sz w:val="22"/>
                <w:szCs w:val="22"/>
              </w:rPr>
            </w:pPr>
            <w:r>
              <w:rPr>
                <w:color w:val="000000"/>
                <w:sz w:val="22"/>
                <w:szCs w:val="22"/>
              </w:rPr>
              <w:t>86.38%</w:t>
            </w:r>
          </w:p>
        </w:tc>
        <w:tc>
          <w:tcPr>
            <w:tcW w:w="1623" w:type="dxa"/>
            <w:vAlign w:val="center"/>
          </w:tcPr>
          <w:p w14:paraId="633B9263">
            <w:pPr>
              <w:widowControl/>
              <w:tabs>
                <w:tab w:val="left" w:pos="5040"/>
              </w:tabs>
              <w:ind w:firstLine="0" w:firstLineChars="0"/>
              <w:jc w:val="left"/>
              <w:rPr>
                <w:kern w:val="0"/>
                <w:sz w:val="22"/>
                <w:szCs w:val="22"/>
              </w:rPr>
            </w:pPr>
            <w:r>
              <w:rPr>
                <w:color w:val="000000"/>
                <w:sz w:val="22"/>
                <w:szCs w:val="22"/>
              </w:rPr>
              <w:t>6.34</w:t>
            </w:r>
          </w:p>
        </w:tc>
      </w:tr>
      <w:tr w14:paraId="0B2B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vAlign w:val="center"/>
          </w:tcPr>
          <w:p w14:paraId="62C6C560">
            <w:pPr>
              <w:widowControl/>
              <w:tabs>
                <w:tab w:val="left" w:pos="5040"/>
              </w:tabs>
              <w:ind w:firstLine="0" w:firstLineChars="0"/>
              <w:jc w:val="left"/>
              <w:rPr>
                <w:kern w:val="0"/>
                <w:sz w:val="22"/>
                <w:szCs w:val="22"/>
              </w:rPr>
            </w:pPr>
            <w:r>
              <w:rPr>
                <w:color w:val="000000"/>
                <w:sz w:val="22"/>
                <w:szCs w:val="22"/>
              </w:rPr>
              <w:t>PAR</w:t>
            </w:r>
          </w:p>
        </w:tc>
        <w:tc>
          <w:tcPr>
            <w:tcW w:w="1622" w:type="dxa"/>
            <w:vAlign w:val="center"/>
          </w:tcPr>
          <w:p w14:paraId="7E8EEF94">
            <w:pPr>
              <w:widowControl/>
              <w:tabs>
                <w:tab w:val="left" w:pos="5040"/>
              </w:tabs>
              <w:ind w:firstLine="0" w:firstLineChars="0"/>
              <w:jc w:val="left"/>
              <w:rPr>
                <w:kern w:val="0"/>
                <w:sz w:val="22"/>
                <w:szCs w:val="22"/>
              </w:rPr>
            </w:pPr>
            <w:r>
              <w:rPr>
                <w:color w:val="000000"/>
                <w:sz w:val="22"/>
                <w:szCs w:val="22"/>
              </w:rPr>
              <w:t>Football</w:t>
            </w:r>
          </w:p>
        </w:tc>
        <w:tc>
          <w:tcPr>
            <w:tcW w:w="1623" w:type="dxa"/>
            <w:vAlign w:val="center"/>
          </w:tcPr>
          <w:p w14:paraId="4C89FCB2">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有伟大教练</w:t>
            </w:r>
          </w:p>
        </w:tc>
        <w:tc>
          <w:tcPr>
            <w:tcW w:w="1623" w:type="dxa"/>
            <w:vAlign w:val="center"/>
          </w:tcPr>
          <w:p w14:paraId="64B02349">
            <w:pPr>
              <w:widowControl/>
              <w:tabs>
                <w:tab w:val="left" w:pos="5040"/>
              </w:tabs>
              <w:ind w:firstLine="0" w:firstLineChars="0"/>
              <w:jc w:val="left"/>
              <w:rPr>
                <w:kern w:val="0"/>
                <w:sz w:val="22"/>
                <w:szCs w:val="22"/>
              </w:rPr>
            </w:pPr>
            <w:r>
              <w:rPr>
                <w:color w:val="000000"/>
                <w:sz w:val="22"/>
                <w:szCs w:val="22"/>
              </w:rPr>
              <w:t>14.09</w:t>
            </w:r>
          </w:p>
        </w:tc>
        <w:tc>
          <w:tcPr>
            <w:tcW w:w="1623" w:type="dxa"/>
            <w:vAlign w:val="center"/>
          </w:tcPr>
          <w:p w14:paraId="54469391">
            <w:pPr>
              <w:widowControl/>
              <w:tabs>
                <w:tab w:val="left" w:pos="5040"/>
              </w:tabs>
              <w:ind w:firstLine="0" w:firstLineChars="0"/>
              <w:jc w:val="left"/>
              <w:rPr>
                <w:kern w:val="0"/>
                <w:sz w:val="22"/>
                <w:szCs w:val="22"/>
              </w:rPr>
            </w:pPr>
            <w:r>
              <w:rPr>
                <w:color w:val="000000"/>
                <w:sz w:val="22"/>
                <w:szCs w:val="22"/>
              </w:rPr>
              <w:t>100.00%</w:t>
            </w:r>
          </w:p>
        </w:tc>
        <w:tc>
          <w:tcPr>
            <w:tcW w:w="1623" w:type="dxa"/>
            <w:vAlign w:val="center"/>
          </w:tcPr>
          <w:p w14:paraId="3297F8AB">
            <w:pPr>
              <w:widowControl/>
              <w:tabs>
                <w:tab w:val="left" w:pos="5040"/>
              </w:tabs>
              <w:ind w:firstLine="0" w:firstLineChars="0"/>
              <w:jc w:val="left"/>
              <w:rPr>
                <w:kern w:val="0"/>
                <w:sz w:val="22"/>
                <w:szCs w:val="22"/>
              </w:rPr>
            </w:pPr>
            <w:r>
              <w:rPr>
                <w:color w:val="000000"/>
                <w:sz w:val="22"/>
                <w:szCs w:val="22"/>
              </w:rPr>
              <w:t>1310019</w:t>
            </w:r>
          </w:p>
        </w:tc>
      </w:tr>
      <w:tr w14:paraId="4AF1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vAlign w:val="center"/>
          </w:tcPr>
          <w:p w14:paraId="20E1C3AC">
            <w:pPr>
              <w:widowControl/>
              <w:tabs>
                <w:tab w:val="left" w:pos="5040"/>
              </w:tabs>
              <w:ind w:firstLine="0" w:firstLineChars="0"/>
              <w:jc w:val="left"/>
              <w:rPr>
                <w:kern w:val="0"/>
                <w:sz w:val="22"/>
                <w:szCs w:val="22"/>
              </w:rPr>
            </w:pPr>
            <w:r>
              <w:rPr>
                <w:color w:val="000000"/>
                <w:sz w:val="22"/>
                <w:szCs w:val="22"/>
              </w:rPr>
              <w:t>SUD</w:t>
            </w:r>
          </w:p>
        </w:tc>
        <w:tc>
          <w:tcPr>
            <w:tcW w:w="1622" w:type="dxa"/>
            <w:vAlign w:val="center"/>
          </w:tcPr>
          <w:p w14:paraId="101C5D7A">
            <w:pPr>
              <w:widowControl/>
              <w:tabs>
                <w:tab w:val="left" w:pos="5040"/>
              </w:tabs>
              <w:ind w:firstLine="0" w:firstLineChars="0"/>
              <w:jc w:val="left"/>
              <w:rPr>
                <w:kern w:val="0"/>
                <w:sz w:val="22"/>
                <w:szCs w:val="22"/>
              </w:rPr>
            </w:pPr>
            <w:r>
              <w:rPr>
                <w:color w:val="000000"/>
                <w:sz w:val="22"/>
                <w:szCs w:val="22"/>
              </w:rPr>
              <w:t>Boxing</w:t>
            </w:r>
          </w:p>
        </w:tc>
        <w:tc>
          <w:tcPr>
            <w:tcW w:w="1623" w:type="dxa"/>
            <w:vAlign w:val="center"/>
          </w:tcPr>
          <w:p w14:paraId="2B3AC971">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有伟大教练</w:t>
            </w:r>
          </w:p>
        </w:tc>
        <w:tc>
          <w:tcPr>
            <w:tcW w:w="1623" w:type="dxa"/>
            <w:vAlign w:val="center"/>
          </w:tcPr>
          <w:p w14:paraId="094ECFC4">
            <w:pPr>
              <w:widowControl/>
              <w:tabs>
                <w:tab w:val="left" w:pos="5040"/>
              </w:tabs>
              <w:ind w:firstLine="0" w:firstLineChars="0"/>
              <w:jc w:val="left"/>
              <w:rPr>
                <w:kern w:val="0"/>
                <w:sz w:val="22"/>
                <w:szCs w:val="22"/>
              </w:rPr>
            </w:pPr>
            <w:r>
              <w:rPr>
                <w:color w:val="000000"/>
                <w:sz w:val="22"/>
                <w:szCs w:val="22"/>
              </w:rPr>
              <w:t>1.46</w:t>
            </w:r>
          </w:p>
        </w:tc>
        <w:tc>
          <w:tcPr>
            <w:tcW w:w="1623" w:type="dxa"/>
            <w:vAlign w:val="center"/>
          </w:tcPr>
          <w:p w14:paraId="2F855245">
            <w:pPr>
              <w:widowControl/>
              <w:tabs>
                <w:tab w:val="left" w:pos="5040"/>
              </w:tabs>
              <w:ind w:firstLine="0" w:firstLineChars="0"/>
              <w:jc w:val="left"/>
              <w:rPr>
                <w:kern w:val="0"/>
                <w:sz w:val="22"/>
                <w:szCs w:val="22"/>
              </w:rPr>
            </w:pPr>
            <w:r>
              <w:rPr>
                <w:color w:val="000000"/>
                <w:sz w:val="22"/>
                <w:szCs w:val="22"/>
              </w:rPr>
              <w:t>76.71%</w:t>
            </w:r>
          </w:p>
        </w:tc>
        <w:tc>
          <w:tcPr>
            <w:tcW w:w="1623" w:type="dxa"/>
            <w:vAlign w:val="center"/>
          </w:tcPr>
          <w:p w14:paraId="28B1E028">
            <w:pPr>
              <w:widowControl/>
              <w:tabs>
                <w:tab w:val="left" w:pos="5040"/>
              </w:tabs>
              <w:ind w:firstLine="0" w:firstLineChars="0"/>
              <w:jc w:val="left"/>
              <w:rPr>
                <w:kern w:val="0"/>
                <w:sz w:val="22"/>
                <w:szCs w:val="22"/>
              </w:rPr>
            </w:pPr>
            <w:r>
              <w:rPr>
                <w:color w:val="000000"/>
                <w:sz w:val="22"/>
                <w:szCs w:val="22"/>
              </w:rPr>
              <w:t>3.29</w:t>
            </w:r>
          </w:p>
        </w:tc>
      </w:tr>
      <w:tr w14:paraId="0AC8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vAlign w:val="center"/>
          </w:tcPr>
          <w:p w14:paraId="22B62A11">
            <w:pPr>
              <w:widowControl/>
              <w:tabs>
                <w:tab w:val="left" w:pos="5040"/>
              </w:tabs>
              <w:ind w:firstLine="0" w:firstLineChars="0"/>
              <w:jc w:val="left"/>
              <w:rPr>
                <w:kern w:val="0"/>
                <w:sz w:val="22"/>
                <w:szCs w:val="22"/>
              </w:rPr>
            </w:pPr>
            <w:r>
              <w:rPr>
                <w:color w:val="000000"/>
                <w:sz w:val="22"/>
                <w:szCs w:val="22"/>
              </w:rPr>
              <w:t>KSA</w:t>
            </w:r>
          </w:p>
        </w:tc>
        <w:tc>
          <w:tcPr>
            <w:tcW w:w="1622" w:type="dxa"/>
            <w:vAlign w:val="center"/>
          </w:tcPr>
          <w:p w14:paraId="417889BE">
            <w:pPr>
              <w:widowControl/>
              <w:tabs>
                <w:tab w:val="left" w:pos="5040"/>
              </w:tabs>
              <w:ind w:firstLine="0" w:firstLineChars="0"/>
              <w:jc w:val="left"/>
              <w:rPr>
                <w:kern w:val="0"/>
                <w:sz w:val="22"/>
                <w:szCs w:val="22"/>
              </w:rPr>
            </w:pPr>
            <w:r>
              <w:rPr>
                <w:color w:val="000000"/>
                <w:sz w:val="22"/>
                <w:szCs w:val="22"/>
              </w:rPr>
              <w:t>Wrestling</w:t>
            </w:r>
          </w:p>
        </w:tc>
        <w:tc>
          <w:tcPr>
            <w:tcW w:w="1623" w:type="dxa"/>
            <w:vAlign w:val="center"/>
          </w:tcPr>
          <w:p w14:paraId="4849275F">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有伟大教练</w:t>
            </w:r>
          </w:p>
        </w:tc>
        <w:tc>
          <w:tcPr>
            <w:tcW w:w="1623" w:type="dxa"/>
            <w:vAlign w:val="center"/>
          </w:tcPr>
          <w:p w14:paraId="39785030">
            <w:pPr>
              <w:widowControl/>
              <w:tabs>
                <w:tab w:val="left" w:pos="5040"/>
              </w:tabs>
              <w:ind w:firstLine="0" w:firstLineChars="0"/>
              <w:jc w:val="left"/>
              <w:rPr>
                <w:kern w:val="0"/>
                <w:sz w:val="22"/>
                <w:szCs w:val="22"/>
              </w:rPr>
            </w:pPr>
            <w:r>
              <w:rPr>
                <w:color w:val="000000"/>
                <w:sz w:val="22"/>
                <w:szCs w:val="22"/>
              </w:rPr>
              <w:t>1.82</w:t>
            </w:r>
          </w:p>
        </w:tc>
        <w:tc>
          <w:tcPr>
            <w:tcW w:w="1623" w:type="dxa"/>
            <w:vAlign w:val="center"/>
          </w:tcPr>
          <w:p w14:paraId="57A911C2">
            <w:pPr>
              <w:widowControl/>
              <w:tabs>
                <w:tab w:val="left" w:pos="5040"/>
              </w:tabs>
              <w:ind w:firstLine="0" w:firstLineChars="0"/>
              <w:jc w:val="left"/>
              <w:rPr>
                <w:kern w:val="0"/>
                <w:sz w:val="22"/>
                <w:szCs w:val="22"/>
              </w:rPr>
            </w:pPr>
            <w:r>
              <w:rPr>
                <w:color w:val="000000"/>
                <w:sz w:val="22"/>
                <w:szCs w:val="22"/>
              </w:rPr>
              <w:t>83.81%</w:t>
            </w:r>
          </w:p>
        </w:tc>
        <w:tc>
          <w:tcPr>
            <w:tcW w:w="1623" w:type="dxa"/>
            <w:vAlign w:val="center"/>
          </w:tcPr>
          <w:p w14:paraId="0C1B34E5">
            <w:pPr>
              <w:widowControl/>
              <w:tabs>
                <w:tab w:val="left" w:pos="5040"/>
              </w:tabs>
              <w:ind w:firstLine="0" w:firstLineChars="0"/>
              <w:jc w:val="left"/>
              <w:rPr>
                <w:kern w:val="0"/>
                <w:sz w:val="22"/>
                <w:szCs w:val="22"/>
              </w:rPr>
            </w:pPr>
            <w:r>
              <w:rPr>
                <w:color w:val="000000"/>
                <w:sz w:val="22"/>
                <w:szCs w:val="22"/>
              </w:rPr>
              <w:t>5.18</w:t>
            </w:r>
          </w:p>
        </w:tc>
      </w:tr>
      <w:tr w14:paraId="0A25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vAlign w:val="center"/>
          </w:tcPr>
          <w:p w14:paraId="5673723C">
            <w:pPr>
              <w:widowControl/>
              <w:tabs>
                <w:tab w:val="left" w:pos="5040"/>
              </w:tabs>
              <w:ind w:firstLine="0" w:firstLineChars="0"/>
              <w:jc w:val="left"/>
              <w:rPr>
                <w:kern w:val="0"/>
                <w:sz w:val="22"/>
                <w:szCs w:val="22"/>
              </w:rPr>
            </w:pPr>
            <w:r>
              <w:rPr>
                <w:color w:val="000000"/>
                <w:sz w:val="22"/>
                <w:szCs w:val="22"/>
              </w:rPr>
              <w:t>ISL</w:t>
            </w:r>
          </w:p>
        </w:tc>
        <w:tc>
          <w:tcPr>
            <w:tcW w:w="1622" w:type="dxa"/>
            <w:vAlign w:val="center"/>
          </w:tcPr>
          <w:p w14:paraId="25F24CCD">
            <w:pPr>
              <w:widowControl/>
              <w:tabs>
                <w:tab w:val="left" w:pos="5040"/>
              </w:tabs>
              <w:ind w:firstLine="0" w:firstLineChars="0"/>
              <w:jc w:val="left"/>
              <w:rPr>
                <w:kern w:val="0"/>
                <w:sz w:val="22"/>
                <w:szCs w:val="22"/>
              </w:rPr>
            </w:pPr>
            <w:r>
              <w:rPr>
                <w:color w:val="000000"/>
                <w:sz w:val="22"/>
                <w:szCs w:val="22"/>
              </w:rPr>
              <w:t>Handball</w:t>
            </w:r>
          </w:p>
        </w:tc>
        <w:tc>
          <w:tcPr>
            <w:tcW w:w="1623" w:type="dxa"/>
            <w:vAlign w:val="center"/>
          </w:tcPr>
          <w:p w14:paraId="5B79289E">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无伟大教练</w:t>
            </w:r>
          </w:p>
        </w:tc>
        <w:tc>
          <w:tcPr>
            <w:tcW w:w="1623" w:type="dxa"/>
            <w:vAlign w:val="center"/>
          </w:tcPr>
          <w:p w14:paraId="52180E90">
            <w:pPr>
              <w:widowControl/>
              <w:tabs>
                <w:tab w:val="left" w:pos="5040"/>
              </w:tabs>
              <w:ind w:firstLine="0" w:firstLineChars="0"/>
              <w:jc w:val="left"/>
              <w:rPr>
                <w:kern w:val="0"/>
                <w:sz w:val="22"/>
                <w:szCs w:val="22"/>
              </w:rPr>
            </w:pPr>
            <w:r>
              <w:rPr>
                <w:color w:val="000000"/>
                <w:sz w:val="22"/>
                <w:szCs w:val="22"/>
              </w:rPr>
              <w:t>14.66</w:t>
            </w:r>
          </w:p>
        </w:tc>
        <w:tc>
          <w:tcPr>
            <w:tcW w:w="1623" w:type="dxa"/>
            <w:vAlign w:val="center"/>
          </w:tcPr>
          <w:p w14:paraId="7FF389FE">
            <w:pPr>
              <w:widowControl/>
              <w:tabs>
                <w:tab w:val="left" w:pos="5040"/>
              </w:tabs>
              <w:ind w:firstLine="0" w:firstLineChars="0"/>
              <w:jc w:val="left"/>
              <w:rPr>
                <w:kern w:val="0"/>
                <w:sz w:val="22"/>
                <w:szCs w:val="22"/>
              </w:rPr>
            </w:pPr>
            <w:r>
              <w:rPr>
                <w:color w:val="000000"/>
                <w:sz w:val="22"/>
                <w:szCs w:val="22"/>
              </w:rPr>
              <w:t>100.00%</w:t>
            </w:r>
          </w:p>
        </w:tc>
        <w:tc>
          <w:tcPr>
            <w:tcW w:w="1623" w:type="dxa"/>
            <w:vAlign w:val="center"/>
          </w:tcPr>
          <w:p w14:paraId="3D01D3C1">
            <w:pPr>
              <w:widowControl/>
              <w:tabs>
                <w:tab w:val="left" w:pos="5040"/>
              </w:tabs>
              <w:ind w:firstLine="0" w:firstLineChars="0"/>
              <w:jc w:val="left"/>
              <w:rPr>
                <w:kern w:val="0"/>
                <w:sz w:val="22"/>
                <w:szCs w:val="22"/>
              </w:rPr>
            </w:pPr>
            <w:r>
              <w:rPr>
                <w:color w:val="000000"/>
                <w:sz w:val="22"/>
                <w:szCs w:val="22"/>
              </w:rPr>
              <w:t>2334672</w:t>
            </w:r>
          </w:p>
        </w:tc>
      </w:tr>
      <w:tr w14:paraId="13A8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vAlign w:val="center"/>
          </w:tcPr>
          <w:p w14:paraId="5692B82D">
            <w:pPr>
              <w:widowControl/>
              <w:tabs>
                <w:tab w:val="left" w:pos="5040"/>
              </w:tabs>
              <w:ind w:firstLine="0" w:firstLineChars="0"/>
              <w:jc w:val="left"/>
              <w:rPr>
                <w:kern w:val="0"/>
                <w:sz w:val="22"/>
                <w:szCs w:val="22"/>
              </w:rPr>
            </w:pPr>
            <w:r>
              <w:rPr>
                <w:color w:val="000000"/>
                <w:sz w:val="22"/>
                <w:szCs w:val="22"/>
              </w:rPr>
              <w:t>GHA</w:t>
            </w:r>
          </w:p>
        </w:tc>
        <w:tc>
          <w:tcPr>
            <w:tcW w:w="1622" w:type="dxa"/>
            <w:vAlign w:val="center"/>
          </w:tcPr>
          <w:p w14:paraId="55B08251">
            <w:pPr>
              <w:widowControl/>
              <w:tabs>
                <w:tab w:val="left" w:pos="5040"/>
              </w:tabs>
              <w:ind w:firstLine="0" w:firstLineChars="0"/>
              <w:jc w:val="left"/>
              <w:rPr>
                <w:kern w:val="0"/>
                <w:sz w:val="22"/>
                <w:szCs w:val="22"/>
              </w:rPr>
            </w:pPr>
            <w:r>
              <w:rPr>
                <w:color w:val="000000"/>
                <w:sz w:val="22"/>
                <w:szCs w:val="22"/>
              </w:rPr>
              <w:t>Athletics</w:t>
            </w:r>
          </w:p>
        </w:tc>
        <w:tc>
          <w:tcPr>
            <w:tcW w:w="1623" w:type="dxa"/>
            <w:vAlign w:val="center"/>
          </w:tcPr>
          <w:p w14:paraId="6F8453CF">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无伟大教练</w:t>
            </w:r>
          </w:p>
        </w:tc>
        <w:tc>
          <w:tcPr>
            <w:tcW w:w="1623" w:type="dxa"/>
            <w:vAlign w:val="center"/>
          </w:tcPr>
          <w:p w14:paraId="42902C1A">
            <w:pPr>
              <w:widowControl/>
              <w:tabs>
                <w:tab w:val="left" w:pos="5040"/>
              </w:tabs>
              <w:ind w:firstLine="0" w:firstLineChars="0"/>
              <w:jc w:val="left"/>
              <w:rPr>
                <w:kern w:val="0"/>
                <w:sz w:val="22"/>
                <w:szCs w:val="22"/>
              </w:rPr>
            </w:pPr>
            <w:r>
              <w:rPr>
                <w:color w:val="000000"/>
                <w:sz w:val="22"/>
                <w:szCs w:val="22"/>
              </w:rPr>
              <w:t>3</w:t>
            </w:r>
          </w:p>
        </w:tc>
        <w:tc>
          <w:tcPr>
            <w:tcW w:w="1623" w:type="dxa"/>
            <w:vAlign w:val="center"/>
          </w:tcPr>
          <w:p w14:paraId="2FF8BDAF">
            <w:pPr>
              <w:widowControl/>
              <w:tabs>
                <w:tab w:val="left" w:pos="5040"/>
              </w:tabs>
              <w:ind w:firstLine="0" w:firstLineChars="0"/>
              <w:jc w:val="left"/>
              <w:rPr>
                <w:kern w:val="0"/>
                <w:sz w:val="22"/>
                <w:szCs w:val="22"/>
              </w:rPr>
            </w:pPr>
            <w:r>
              <w:rPr>
                <w:color w:val="000000"/>
                <w:sz w:val="22"/>
                <w:szCs w:val="22"/>
              </w:rPr>
              <w:t>95.02%</w:t>
            </w:r>
          </w:p>
        </w:tc>
        <w:tc>
          <w:tcPr>
            <w:tcW w:w="1623" w:type="dxa"/>
            <w:vAlign w:val="center"/>
          </w:tcPr>
          <w:p w14:paraId="7491AD0D">
            <w:pPr>
              <w:widowControl/>
              <w:tabs>
                <w:tab w:val="left" w:pos="5040"/>
              </w:tabs>
              <w:ind w:firstLine="0" w:firstLineChars="0"/>
              <w:jc w:val="left"/>
              <w:rPr>
                <w:kern w:val="0"/>
                <w:sz w:val="22"/>
                <w:szCs w:val="22"/>
              </w:rPr>
            </w:pPr>
            <w:r>
              <w:rPr>
                <w:color w:val="000000"/>
                <w:sz w:val="22"/>
                <w:szCs w:val="22"/>
              </w:rPr>
              <w:t>19.09</w:t>
            </w:r>
          </w:p>
        </w:tc>
      </w:tr>
      <w:tr w14:paraId="0436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vAlign w:val="center"/>
          </w:tcPr>
          <w:p w14:paraId="4B0EF297">
            <w:pPr>
              <w:widowControl/>
              <w:tabs>
                <w:tab w:val="left" w:pos="5040"/>
              </w:tabs>
              <w:ind w:firstLine="0" w:firstLineChars="0"/>
              <w:jc w:val="left"/>
              <w:rPr>
                <w:kern w:val="0"/>
                <w:sz w:val="22"/>
                <w:szCs w:val="22"/>
              </w:rPr>
            </w:pPr>
            <w:r>
              <w:rPr>
                <w:color w:val="000000"/>
                <w:sz w:val="22"/>
                <w:szCs w:val="22"/>
              </w:rPr>
              <w:t>IRQ</w:t>
            </w:r>
          </w:p>
        </w:tc>
        <w:tc>
          <w:tcPr>
            <w:tcW w:w="1622" w:type="dxa"/>
            <w:vAlign w:val="center"/>
          </w:tcPr>
          <w:p w14:paraId="177D5FFA">
            <w:pPr>
              <w:widowControl/>
              <w:tabs>
                <w:tab w:val="left" w:pos="5040"/>
              </w:tabs>
              <w:ind w:firstLine="0" w:firstLineChars="0"/>
              <w:jc w:val="left"/>
              <w:rPr>
                <w:kern w:val="0"/>
                <w:sz w:val="22"/>
                <w:szCs w:val="22"/>
              </w:rPr>
            </w:pPr>
            <w:r>
              <w:rPr>
                <w:color w:val="000000"/>
                <w:sz w:val="22"/>
                <w:szCs w:val="22"/>
              </w:rPr>
              <w:t>Weightlifting</w:t>
            </w:r>
          </w:p>
        </w:tc>
        <w:tc>
          <w:tcPr>
            <w:tcW w:w="1623" w:type="dxa"/>
            <w:vAlign w:val="center"/>
          </w:tcPr>
          <w:p w14:paraId="3FD7BA7C">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无伟大教练</w:t>
            </w:r>
          </w:p>
        </w:tc>
        <w:tc>
          <w:tcPr>
            <w:tcW w:w="1623" w:type="dxa"/>
            <w:vAlign w:val="center"/>
          </w:tcPr>
          <w:p w14:paraId="5219F785">
            <w:pPr>
              <w:widowControl/>
              <w:tabs>
                <w:tab w:val="left" w:pos="5040"/>
              </w:tabs>
              <w:ind w:firstLine="0" w:firstLineChars="0"/>
              <w:jc w:val="left"/>
              <w:rPr>
                <w:kern w:val="0"/>
                <w:sz w:val="22"/>
                <w:szCs w:val="22"/>
              </w:rPr>
            </w:pPr>
            <w:r>
              <w:rPr>
                <w:color w:val="000000"/>
                <w:sz w:val="22"/>
                <w:szCs w:val="22"/>
              </w:rPr>
              <w:t>1.59</w:t>
            </w:r>
          </w:p>
        </w:tc>
        <w:tc>
          <w:tcPr>
            <w:tcW w:w="1623" w:type="dxa"/>
            <w:vAlign w:val="center"/>
          </w:tcPr>
          <w:p w14:paraId="4939864D">
            <w:pPr>
              <w:widowControl/>
              <w:tabs>
                <w:tab w:val="left" w:pos="5040"/>
              </w:tabs>
              <w:ind w:firstLine="0" w:firstLineChars="0"/>
              <w:jc w:val="left"/>
              <w:rPr>
                <w:kern w:val="0"/>
                <w:sz w:val="22"/>
                <w:szCs w:val="22"/>
              </w:rPr>
            </w:pPr>
            <w:r>
              <w:rPr>
                <w:color w:val="000000"/>
                <w:sz w:val="22"/>
                <w:szCs w:val="22"/>
              </w:rPr>
              <w:t>79.55%</w:t>
            </w:r>
          </w:p>
        </w:tc>
        <w:tc>
          <w:tcPr>
            <w:tcW w:w="1623" w:type="dxa"/>
            <w:vAlign w:val="center"/>
          </w:tcPr>
          <w:p w14:paraId="3EE221C6">
            <w:pPr>
              <w:widowControl/>
              <w:tabs>
                <w:tab w:val="left" w:pos="5040"/>
              </w:tabs>
              <w:ind w:firstLine="0" w:firstLineChars="0"/>
              <w:jc w:val="left"/>
              <w:rPr>
                <w:kern w:val="0"/>
                <w:sz w:val="22"/>
                <w:szCs w:val="22"/>
              </w:rPr>
            </w:pPr>
            <w:r>
              <w:rPr>
                <w:color w:val="000000"/>
                <w:sz w:val="22"/>
                <w:szCs w:val="22"/>
              </w:rPr>
              <w:t>3.89</w:t>
            </w:r>
          </w:p>
        </w:tc>
      </w:tr>
      <w:tr w14:paraId="5FDA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vAlign w:val="center"/>
          </w:tcPr>
          <w:p w14:paraId="374133E6">
            <w:pPr>
              <w:widowControl/>
              <w:tabs>
                <w:tab w:val="left" w:pos="5040"/>
              </w:tabs>
              <w:ind w:firstLine="0" w:firstLineChars="0"/>
              <w:jc w:val="left"/>
              <w:rPr>
                <w:kern w:val="0"/>
                <w:sz w:val="22"/>
                <w:szCs w:val="22"/>
              </w:rPr>
            </w:pPr>
            <w:r>
              <w:rPr>
                <w:color w:val="000000"/>
                <w:sz w:val="22"/>
                <w:szCs w:val="22"/>
              </w:rPr>
              <w:t>MAS</w:t>
            </w:r>
          </w:p>
        </w:tc>
        <w:tc>
          <w:tcPr>
            <w:tcW w:w="1622" w:type="dxa"/>
            <w:vAlign w:val="center"/>
          </w:tcPr>
          <w:p w14:paraId="5B70CFDA">
            <w:pPr>
              <w:widowControl/>
              <w:tabs>
                <w:tab w:val="left" w:pos="5040"/>
              </w:tabs>
              <w:ind w:firstLine="0" w:firstLineChars="0"/>
              <w:jc w:val="left"/>
              <w:rPr>
                <w:kern w:val="0"/>
                <w:sz w:val="22"/>
                <w:szCs w:val="22"/>
              </w:rPr>
            </w:pPr>
            <w:r>
              <w:rPr>
                <w:color w:val="000000"/>
                <w:sz w:val="22"/>
                <w:szCs w:val="22"/>
              </w:rPr>
              <w:t>Badminton</w:t>
            </w:r>
          </w:p>
        </w:tc>
        <w:tc>
          <w:tcPr>
            <w:tcW w:w="1623" w:type="dxa"/>
            <w:vAlign w:val="center"/>
          </w:tcPr>
          <w:p w14:paraId="11E2BB1C">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无伟大教练</w:t>
            </w:r>
          </w:p>
        </w:tc>
        <w:tc>
          <w:tcPr>
            <w:tcW w:w="1623" w:type="dxa"/>
            <w:vAlign w:val="center"/>
          </w:tcPr>
          <w:p w14:paraId="4230DDA4">
            <w:pPr>
              <w:widowControl/>
              <w:tabs>
                <w:tab w:val="left" w:pos="5040"/>
              </w:tabs>
              <w:ind w:firstLine="0" w:firstLineChars="0"/>
              <w:jc w:val="left"/>
              <w:rPr>
                <w:kern w:val="0"/>
                <w:sz w:val="22"/>
                <w:szCs w:val="22"/>
              </w:rPr>
            </w:pPr>
            <w:r>
              <w:rPr>
                <w:color w:val="000000"/>
                <w:sz w:val="22"/>
                <w:szCs w:val="22"/>
              </w:rPr>
              <w:t>2.41</w:t>
            </w:r>
          </w:p>
        </w:tc>
        <w:tc>
          <w:tcPr>
            <w:tcW w:w="1623" w:type="dxa"/>
            <w:vAlign w:val="center"/>
          </w:tcPr>
          <w:p w14:paraId="67B3A675">
            <w:pPr>
              <w:widowControl/>
              <w:tabs>
                <w:tab w:val="left" w:pos="5040"/>
              </w:tabs>
              <w:ind w:firstLine="0" w:firstLineChars="0"/>
              <w:jc w:val="left"/>
              <w:rPr>
                <w:kern w:val="0"/>
                <w:sz w:val="22"/>
                <w:szCs w:val="22"/>
              </w:rPr>
            </w:pPr>
            <w:r>
              <w:rPr>
                <w:color w:val="000000"/>
                <w:sz w:val="22"/>
                <w:szCs w:val="22"/>
              </w:rPr>
              <w:t>91.04%</w:t>
            </w:r>
          </w:p>
        </w:tc>
        <w:tc>
          <w:tcPr>
            <w:tcW w:w="1623" w:type="dxa"/>
            <w:vAlign w:val="center"/>
          </w:tcPr>
          <w:p w14:paraId="7205B416">
            <w:pPr>
              <w:widowControl/>
              <w:tabs>
                <w:tab w:val="left" w:pos="5040"/>
              </w:tabs>
              <w:ind w:firstLine="0" w:firstLineChars="0"/>
              <w:jc w:val="left"/>
              <w:rPr>
                <w:kern w:val="0"/>
                <w:sz w:val="22"/>
                <w:szCs w:val="22"/>
              </w:rPr>
            </w:pPr>
            <w:r>
              <w:rPr>
                <w:color w:val="000000"/>
                <w:sz w:val="22"/>
                <w:szCs w:val="22"/>
              </w:rPr>
              <w:t>10.16</w:t>
            </w:r>
          </w:p>
        </w:tc>
      </w:tr>
      <w:tr w14:paraId="2928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vAlign w:val="center"/>
          </w:tcPr>
          <w:p w14:paraId="62E5A880">
            <w:pPr>
              <w:widowControl/>
              <w:tabs>
                <w:tab w:val="left" w:pos="5040"/>
              </w:tabs>
              <w:ind w:firstLine="0" w:firstLineChars="0"/>
              <w:jc w:val="left"/>
              <w:rPr>
                <w:kern w:val="0"/>
                <w:sz w:val="22"/>
                <w:szCs w:val="22"/>
              </w:rPr>
            </w:pPr>
            <w:r>
              <w:rPr>
                <w:color w:val="000000"/>
                <w:sz w:val="22"/>
                <w:szCs w:val="22"/>
              </w:rPr>
              <w:t>KUW</w:t>
            </w:r>
          </w:p>
        </w:tc>
        <w:tc>
          <w:tcPr>
            <w:tcW w:w="1622" w:type="dxa"/>
            <w:vAlign w:val="center"/>
          </w:tcPr>
          <w:p w14:paraId="1F7E1776">
            <w:pPr>
              <w:widowControl/>
              <w:tabs>
                <w:tab w:val="left" w:pos="5040"/>
              </w:tabs>
              <w:ind w:firstLine="0" w:firstLineChars="0"/>
              <w:jc w:val="left"/>
              <w:rPr>
                <w:kern w:val="0"/>
                <w:sz w:val="22"/>
                <w:szCs w:val="22"/>
              </w:rPr>
            </w:pPr>
            <w:r>
              <w:rPr>
                <w:color w:val="000000"/>
                <w:sz w:val="22"/>
                <w:szCs w:val="22"/>
              </w:rPr>
              <w:t>Shooting</w:t>
            </w:r>
          </w:p>
        </w:tc>
        <w:tc>
          <w:tcPr>
            <w:tcW w:w="1623" w:type="dxa"/>
            <w:vAlign w:val="center"/>
          </w:tcPr>
          <w:p w14:paraId="4356BEFE">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无伟大教练</w:t>
            </w:r>
          </w:p>
        </w:tc>
        <w:tc>
          <w:tcPr>
            <w:tcW w:w="1623" w:type="dxa"/>
            <w:vAlign w:val="center"/>
          </w:tcPr>
          <w:p w14:paraId="71E9E7CB">
            <w:pPr>
              <w:widowControl/>
              <w:tabs>
                <w:tab w:val="left" w:pos="5040"/>
              </w:tabs>
              <w:ind w:firstLine="0" w:firstLineChars="0"/>
              <w:jc w:val="left"/>
              <w:rPr>
                <w:kern w:val="0"/>
                <w:sz w:val="22"/>
                <w:szCs w:val="22"/>
              </w:rPr>
            </w:pPr>
            <w:r>
              <w:rPr>
                <w:color w:val="000000"/>
                <w:sz w:val="22"/>
                <w:szCs w:val="22"/>
              </w:rPr>
              <w:t>1.93</w:t>
            </w:r>
          </w:p>
        </w:tc>
        <w:tc>
          <w:tcPr>
            <w:tcW w:w="1623" w:type="dxa"/>
            <w:vAlign w:val="center"/>
          </w:tcPr>
          <w:p w14:paraId="356E4890">
            <w:pPr>
              <w:widowControl/>
              <w:tabs>
                <w:tab w:val="left" w:pos="5040"/>
              </w:tabs>
              <w:ind w:firstLine="0" w:firstLineChars="0"/>
              <w:jc w:val="left"/>
              <w:rPr>
                <w:kern w:val="0"/>
                <w:sz w:val="22"/>
                <w:szCs w:val="22"/>
              </w:rPr>
            </w:pPr>
            <w:r>
              <w:rPr>
                <w:color w:val="000000"/>
                <w:sz w:val="22"/>
                <w:szCs w:val="22"/>
              </w:rPr>
              <w:t>85.45%</w:t>
            </w:r>
          </w:p>
        </w:tc>
        <w:tc>
          <w:tcPr>
            <w:tcW w:w="1623" w:type="dxa"/>
            <w:vAlign w:val="center"/>
          </w:tcPr>
          <w:p w14:paraId="62E292DA">
            <w:pPr>
              <w:widowControl/>
              <w:tabs>
                <w:tab w:val="left" w:pos="5040"/>
              </w:tabs>
              <w:ind w:firstLine="0" w:firstLineChars="0"/>
              <w:jc w:val="left"/>
              <w:rPr>
                <w:kern w:val="0"/>
                <w:sz w:val="22"/>
                <w:szCs w:val="22"/>
              </w:rPr>
            </w:pPr>
            <w:r>
              <w:rPr>
                <w:color w:val="000000"/>
                <w:sz w:val="22"/>
                <w:szCs w:val="22"/>
              </w:rPr>
              <w:t>5.87</w:t>
            </w:r>
          </w:p>
        </w:tc>
      </w:tr>
      <w:tr w14:paraId="09D3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vAlign w:val="center"/>
          </w:tcPr>
          <w:p w14:paraId="1896094F">
            <w:pPr>
              <w:widowControl/>
              <w:tabs>
                <w:tab w:val="left" w:pos="5040"/>
              </w:tabs>
              <w:ind w:firstLine="0" w:firstLineChars="0"/>
              <w:jc w:val="left"/>
              <w:rPr>
                <w:kern w:val="0"/>
                <w:sz w:val="22"/>
                <w:szCs w:val="22"/>
              </w:rPr>
            </w:pPr>
            <w:r>
              <w:rPr>
                <w:color w:val="000000"/>
                <w:sz w:val="22"/>
                <w:szCs w:val="22"/>
              </w:rPr>
              <w:t>PAR</w:t>
            </w:r>
          </w:p>
        </w:tc>
        <w:tc>
          <w:tcPr>
            <w:tcW w:w="1622" w:type="dxa"/>
            <w:vAlign w:val="center"/>
          </w:tcPr>
          <w:p w14:paraId="4EEFD971">
            <w:pPr>
              <w:widowControl/>
              <w:tabs>
                <w:tab w:val="left" w:pos="5040"/>
              </w:tabs>
              <w:ind w:firstLine="0" w:firstLineChars="0"/>
              <w:jc w:val="left"/>
              <w:rPr>
                <w:kern w:val="0"/>
                <w:sz w:val="22"/>
                <w:szCs w:val="22"/>
              </w:rPr>
            </w:pPr>
            <w:r>
              <w:rPr>
                <w:color w:val="000000"/>
                <w:sz w:val="22"/>
                <w:szCs w:val="22"/>
              </w:rPr>
              <w:t>Football</w:t>
            </w:r>
          </w:p>
        </w:tc>
        <w:tc>
          <w:tcPr>
            <w:tcW w:w="1623" w:type="dxa"/>
            <w:vAlign w:val="center"/>
          </w:tcPr>
          <w:p w14:paraId="6275914D">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无伟大教练</w:t>
            </w:r>
          </w:p>
        </w:tc>
        <w:tc>
          <w:tcPr>
            <w:tcW w:w="1623" w:type="dxa"/>
            <w:vAlign w:val="center"/>
          </w:tcPr>
          <w:p w14:paraId="53541B3A">
            <w:pPr>
              <w:widowControl/>
              <w:tabs>
                <w:tab w:val="left" w:pos="5040"/>
              </w:tabs>
              <w:ind w:firstLine="0" w:firstLineChars="0"/>
              <w:jc w:val="left"/>
              <w:rPr>
                <w:kern w:val="0"/>
                <w:sz w:val="22"/>
                <w:szCs w:val="22"/>
              </w:rPr>
            </w:pPr>
            <w:r>
              <w:rPr>
                <w:color w:val="000000"/>
                <w:sz w:val="22"/>
                <w:szCs w:val="22"/>
              </w:rPr>
              <w:t>13.62</w:t>
            </w:r>
          </w:p>
        </w:tc>
        <w:tc>
          <w:tcPr>
            <w:tcW w:w="1623" w:type="dxa"/>
            <w:vAlign w:val="center"/>
          </w:tcPr>
          <w:p w14:paraId="5CA55B42">
            <w:pPr>
              <w:widowControl/>
              <w:tabs>
                <w:tab w:val="left" w:pos="5040"/>
              </w:tabs>
              <w:ind w:firstLine="0" w:firstLineChars="0"/>
              <w:jc w:val="left"/>
              <w:rPr>
                <w:kern w:val="0"/>
                <w:sz w:val="22"/>
                <w:szCs w:val="22"/>
              </w:rPr>
            </w:pPr>
            <w:r>
              <w:rPr>
                <w:color w:val="000000"/>
                <w:sz w:val="22"/>
                <w:szCs w:val="22"/>
              </w:rPr>
              <w:t>100.00%</w:t>
            </w:r>
          </w:p>
        </w:tc>
        <w:tc>
          <w:tcPr>
            <w:tcW w:w="1623" w:type="dxa"/>
            <w:vAlign w:val="center"/>
          </w:tcPr>
          <w:p w14:paraId="4EAACEFD">
            <w:pPr>
              <w:widowControl/>
              <w:tabs>
                <w:tab w:val="left" w:pos="5040"/>
              </w:tabs>
              <w:ind w:firstLine="0" w:firstLineChars="0"/>
              <w:jc w:val="left"/>
              <w:rPr>
                <w:kern w:val="0"/>
                <w:sz w:val="22"/>
                <w:szCs w:val="22"/>
              </w:rPr>
            </w:pPr>
            <w:r>
              <w:rPr>
                <w:color w:val="000000"/>
                <w:sz w:val="22"/>
                <w:szCs w:val="22"/>
              </w:rPr>
              <w:t>821214.5</w:t>
            </w:r>
          </w:p>
        </w:tc>
      </w:tr>
      <w:tr w14:paraId="38BB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vAlign w:val="center"/>
          </w:tcPr>
          <w:p w14:paraId="160EA8CE">
            <w:pPr>
              <w:widowControl/>
              <w:tabs>
                <w:tab w:val="left" w:pos="5040"/>
              </w:tabs>
              <w:ind w:firstLine="0" w:firstLineChars="0"/>
              <w:jc w:val="left"/>
              <w:rPr>
                <w:kern w:val="0"/>
                <w:sz w:val="22"/>
                <w:szCs w:val="22"/>
              </w:rPr>
            </w:pPr>
            <w:r>
              <w:rPr>
                <w:color w:val="000000"/>
                <w:sz w:val="22"/>
                <w:szCs w:val="22"/>
              </w:rPr>
              <w:t>SUD</w:t>
            </w:r>
          </w:p>
        </w:tc>
        <w:tc>
          <w:tcPr>
            <w:tcW w:w="1622" w:type="dxa"/>
            <w:vAlign w:val="center"/>
          </w:tcPr>
          <w:p w14:paraId="4B6E9990">
            <w:pPr>
              <w:widowControl/>
              <w:tabs>
                <w:tab w:val="left" w:pos="5040"/>
              </w:tabs>
              <w:ind w:firstLine="0" w:firstLineChars="0"/>
              <w:jc w:val="left"/>
              <w:rPr>
                <w:kern w:val="0"/>
                <w:sz w:val="22"/>
                <w:szCs w:val="22"/>
              </w:rPr>
            </w:pPr>
            <w:r>
              <w:rPr>
                <w:color w:val="000000"/>
                <w:sz w:val="22"/>
                <w:szCs w:val="22"/>
              </w:rPr>
              <w:t>Boxing</w:t>
            </w:r>
          </w:p>
        </w:tc>
        <w:tc>
          <w:tcPr>
            <w:tcW w:w="1623" w:type="dxa"/>
            <w:vAlign w:val="center"/>
          </w:tcPr>
          <w:p w14:paraId="6D060206">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无伟大教练</w:t>
            </w:r>
          </w:p>
        </w:tc>
        <w:tc>
          <w:tcPr>
            <w:tcW w:w="1623" w:type="dxa"/>
            <w:vAlign w:val="center"/>
          </w:tcPr>
          <w:p w14:paraId="1A88A2C8">
            <w:pPr>
              <w:widowControl/>
              <w:tabs>
                <w:tab w:val="left" w:pos="5040"/>
              </w:tabs>
              <w:ind w:firstLine="0" w:firstLineChars="0"/>
              <w:jc w:val="left"/>
              <w:rPr>
                <w:kern w:val="0"/>
                <w:sz w:val="22"/>
                <w:szCs w:val="22"/>
              </w:rPr>
            </w:pPr>
            <w:r>
              <w:rPr>
                <w:color w:val="000000"/>
                <w:sz w:val="22"/>
                <w:szCs w:val="22"/>
              </w:rPr>
              <w:t>1.41</w:t>
            </w:r>
          </w:p>
        </w:tc>
        <w:tc>
          <w:tcPr>
            <w:tcW w:w="1623" w:type="dxa"/>
            <w:vAlign w:val="center"/>
          </w:tcPr>
          <w:p w14:paraId="06D99D37">
            <w:pPr>
              <w:widowControl/>
              <w:tabs>
                <w:tab w:val="left" w:pos="5040"/>
              </w:tabs>
              <w:ind w:firstLine="0" w:firstLineChars="0"/>
              <w:jc w:val="left"/>
              <w:rPr>
                <w:kern w:val="0"/>
                <w:sz w:val="22"/>
                <w:szCs w:val="22"/>
              </w:rPr>
            </w:pPr>
            <w:r>
              <w:rPr>
                <w:color w:val="000000"/>
                <w:sz w:val="22"/>
                <w:szCs w:val="22"/>
              </w:rPr>
              <w:t>75.56%</w:t>
            </w:r>
          </w:p>
        </w:tc>
        <w:tc>
          <w:tcPr>
            <w:tcW w:w="1623" w:type="dxa"/>
            <w:vAlign w:val="center"/>
          </w:tcPr>
          <w:p w14:paraId="6570F030">
            <w:pPr>
              <w:widowControl/>
              <w:tabs>
                <w:tab w:val="left" w:pos="5040"/>
              </w:tabs>
              <w:ind w:firstLine="0" w:firstLineChars="0"/>
              <w:jc w:val="left"/>
              <w:rPr>
                <w:kern w:val="0"/>
                <w:sz w:val="22"/>
                <w:szCs w:val="22"/>
              </w:rPr>
            </w:pPr>
            <w:r>
              <w:rPr>
                <w:color w:val="000000"/>
                <w:sz w:val="22"/>
                <w:szCs w:val="22"/>
              </w:rPr>
              <w:t>3.09</w:t>
            </w:r>
          </w:p>
        </w:tc>
      </w:tr>
      <w:tr w14:paraId="4161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2" w:type="dxa"/>
            <w:tcBorders>
              <w:bottom w:val="single" w:color="auto" w:sz="18" w:space="0"/>
            </w:tcBorders>
            <w:vAlign w:val="center"/>
          </w:tcPr>
          <w:p w14:paraId="070DE8B8">
            <w:pPr>
              <w:widowControl/>
              <w:tabs>
                <w:tab w:val="left" w:pos="5040"/>
              </w:tabs>
              <w:ind w:firstLine="0" w:firstLineChars="0"/>
              <w:jc w:val="left"/>
              <w:rPr>
                <w:kern w:val="0"/>
                <w:sz w:val="22"/>
                <w:szCs w:val="22"/>
              </w:rPr>
            </w:pPr>
            <w:r>
              <w:rPr>
                <w:color w:val="000000"/>
                <w:sz w:val="22"/>
                <w:szCs w:val="22"/>
              </w:rPr>
              <w:t>KSA</w:t>
            </w:r>
          </w:p>
        </w:tc>
        <w:tc>
          <w:tcPr>
            <w:tcW w:w="1622" w:type="dxa"/>
            <w:tcBorders>
              <w:bottom w:val="single" w:color="auto" w:sz="18" w:space="0"/>
            </w:tcBorders>
            <w:vAlign w:val="center"/>
          </w:tcPr>
          <w:p w14:paraId="3BA59C1B">
            <w:pPr>
              <w:widowControl/>
              <w:tabs>
                <w:tab w:val="left" w:pos="5040"/>
              </w:tabs>
              <w:ind w:firstLine="0" w:firstLineChars="0"/>
              <w:jc w:val="left"/>
              <w:rPr>
                <w:kern w:val="0"/>
                <w:sz w:val="22"/>
                <w:szCs w:val="22"/>
              </w:rPr>
            </w:pPr>
            <w:r>
              <w:rPr>
                <w:color w:val="000000"/>
                <w:sz w:val="22"/>
                <w:szCs w:val="22"/>
              </w:rPr>
              <w:t>Wrestling</w:t>
            </w:r>
          </w:p>
        </w:tc>
        <w:tc>
          <w:tcPr>
            <w:tcW w:w="1623" w:type="dxa"/>
            <w:tcBorders>
              <w:bottom w:val="single" w:color="auto" w:sz="18" w:space="0"/>
            </w:tcBorders>
            <w:vAlign w:val="center"/>
          </w:tcPr>
          <w:p w14:paraId="5B6299AA">
            <w:pPr>
              <w:widowControl/>
              <w:tabs>
                <w:tab w:val="left" w:pos="5040"/>
              </w:tabs>
              <w:ind w:firstLine="0" w:firstLineChars="0"/>
              <w:jc w:val="left"/>
              <w:rPr>
                <w:rFonts w:hint="eastAsia" w:ascii="宋体" w:hAnsi="宋体"/>
                <w:kern w:val="0"/>
                <w:sz w:val="22"/>
                <w:szCs w:val="22"/>
              </w:rPr>
            </w:pPr>
            <w:r>
              <w:rPr>
                <w:rFonts w:hint="eastAsia" w:ascii="宋体" w:hAnsi="宋体"/>
                <w:color w:val="000000"/>
                <w:sz w:val="22"/>
                <w:szCs w:val="22"/>
              </w:rPr>
              <w:t>无伟大教练</w:t>
            </w:r>
          </w:p>
        </w:tc>
        <w:tc>
          <w:tcPr>
            <w:tcW w:w="1623" w:type="dxa"/>
            <w:tcBorders>
              <w:bottom w:val="single" w:color="auto" w:sz="18" w:space="0"/>
            </w:tcBorders>
            <w:vAlign w:val="center"/>
          </w:tcPr>
          <w:p w14:paraId="70ADF123">
            <w:pPr>
              <w:widowControl/>
              <w:tabs>
                <w:tab w:val="left" w:pos="5040"/>
              </w:tabs>
              <w:ind w:firstLine="0" w:firstLineChars="0"/>
              <w:jc w:val="left"/>
              <w:rPr>
                <w:kern w:val="0"/>
                <w:sz w:val="22"/>
                <w:szCs w:val="22"/>
              </w:rPr>
            </w:pPr>
            <w:r>
              <w:rPr>
                <w:color w:val="000000"/>
                <w:sz w:val="22"/>
                <w:szCs w:val="22"/>
              </w:rPr>
              <w:t>1.76</w:t>
            </w:r>
          </w:p>
        </w:tc>
        <w:tc>
          <w:tcPr>
            <w:tcW w:w="1623" w:type="dxa"/>
            <w:tcBorders>
              <w:bottom w:val="single" w:color="auto" w:sz="18" w:space="0"/>
            </w:tcBorders>
            <w:vAlign w:val="center"/>
          </w:tcPr>
          <w:p w14:paraId="5C08B882">
            <w:pPr>
              <w:widowControl/>
              <w:tabs>
                <w:tab w:val="left" w:pos="5040"/>
              </w:tabs>
              <w:ind w:firstLine="0" w:firstLineChars="0"/>
              <w:jc w:val="left"/>
              <w:rPr>
                <w:kern w:val="0"/>
                <w:sz w:val="22"/>
                <w:szCs w:val="22"/>
              </w:rPr>
            </w:pPr>
            <w:r>
              <w:rPr>
                <w:color w:val="000000"/>
                <w:sz w:val="22"/>
                <w:szCs w:val="22"/>
              </w:rPr>
              <w:t>82.80%</w:t>
            </w:r>
          </w:p>
        </w:tc>
        <w:tc>
          <w:tcPr>
            <w:tcW w:w="1623" w:type="dxa"/>
            <w:tcBorders>
              <w:bottom w:val="single" w:color="auto" w:sz="18" w:space="0"/>
            </w:tcBorders>
            <w:vAlign w:val="center"/>
          </w:tcPr>
          <w:p w14:paraId="559B498A">
            <w:pPr>
              <w:widowControl/>
              <w:tabs>
                <w:tab w:val="left" w:pos="5040"/>
              </w:tabs>
              <w:ind w:firstLine="0" w:firstLineChars="0"/>
              <w:jc w:val="left"/>
              <w:rPr>
                <w:kern w:val="0"/>
                <w:sz w:val="22"/>
                <w:szCs w:val="22"/>
              </w:rPr>
            </w:pPr>
            <w:r>
              <w:rPr>
                <w:color w:val="000000"/>
                <w:sz w:val="22"/>
                <w:szCs w:val="22"/>
              </w:rPr>
              <w:t>4.81</w:t>
            </w:r>
          </w:p>
        </w:tc>
      </w:tr>
    </w:tbl>
    <w:p w14:paraId="570A0D8D">
      <w:pPr>
        <w:pStyle w:val="3"/>
        <w:ind w:firstLine="562"/>
        <w:rPr>
          <w:rFonts w:hint="eastAsia"/>
        </w:rPr>
      </w:pPr>
      <w:r>
        <w:rPr>
          <w:rFonts w:hint="eastAsia" w:eastAsia="宋体"/>
        </w:rPr>
        <w:t>问题</w:t>
      </w:r>
      <w:r>
        <w:rPr>
          <w:rFonts w:ascii="Georgia" w:hAnsi="Georgia" w:eastAsia="Georgia" w:cs="Georgia"/>
        </w:rPr>
        <w:t>3</w:t>
      </w:r>
      <w:r>
        <w:rPr>
          <w:rFonts w:hint="eastAsia" w:eastAsia="宋体"/>
        </w:rPr>
        <w:t>：奥运会奖牌数的其他原始见解及其对各国奥林匹克委员会的启示</w:t>
      </w:r>
    </w:p>
    <w:p w14:paraId="37B6BB41">
      <w:pPr>
        <w:ind w:firstLine="480"/>
        <w:rPr>
          <w:rFonts w:hint="eastAsia"/>
        </w:rPr>
      </w:pPr>
      <w:r>
        <w:rPr>
          <w:rFonts w:hint="eastAsia"/>
        </w:rPr>
        <w:t>在构建和分析了金牌数与总奖牌数的预测模型以及</w:t>
      </w:r>
      <w:r>
        <w:rPr>
          <w:rFonts w:ascii="Georgia" w:hAnsi="Georgia" w:eastAsia="Georgia" w:cs="Georgia"/>
        </w:rPr>
        <w:t>“</w:t>
      </w:r>
      <w:r>
        <w:rPr>
          <w:rFonts w:hint="eastAsia"/>
        </w:rPr>
        <w:t>伟大教练</w:t>
      </w:r>
      <w:r>
        <w:rPr>
          <w:rFonts w:ascii="Georgia" w:hAnsi="Georgia" w:eastAsia="Georgia" w:cs="Georgia"/>
        </w:rPr>
        <w:t>”</w:t>
      </w:r>
      <w:r>
        <w:rPr>
          <w:rFonts w:hint="eastAsia"/>
        </w:rPr>
        <w:t>效应后，我们的模型揭示了一些关于奥运会奖牌数的其他原始见解。这些见解不仅丰富了我们对奖牌分布和影响因素的理解，还为各国奥林匹克委员会在制定战略和资源分配时提供了重要的参考依据。以下将详细阐述这些见解，并通过数学模型进行解释。</w:t>
      </w:r>
    </w:p>
    <w:p w14:paraId="783A8F11">
      <w:pPr>
        <w:pStyle w:val="12"/>
        <w:rPr>
          <w:rFonts w:hint="eastAsia"/>
        </w:rPr>
      </w:pPr>
      <w:r>
        <w:rPr>
          <w:rFonts w:hint="eastAsia"/>
        </w:rPr>
        <w:t>5.3.1</w:t>
      </w:r>
      <w:r>
        <w:t xml:space="preserve"> </w:t>
      </w:r>
      <w:r>
        <w:rPr>
          <w:rFonts w:hint="eastAsia" w:ascii="宋体" w:hAnsi="宋体" w:eastAsia="宋体" w:cs="宋体"/>
        </w:rPr>
        <w:t>经济与人口指标的复合影响</w:t>
      </w:r>
    </w:p>
    <w:p w14:paraId="798F72F0">
      <w:pPr>
        <w:ind w:firstLine="480"/>
        <w:rPr>
          <w:rFonts w:hint="eastAsia"/>
        </w:rPr>
      </w:pPr>
      <w:r>
        <w:rPr>
          <w:rFonts w:hint="eastAsia"/>
        </w:rPr>
        <w:t>模型显示，国家的经济实力和人口规模对奖牌数具有显著影响。然而，这种影响并非简单的线性关系，而是存在复合效应。具体而言，经济指标（如国内生产总值</w:t>
      </w:r>
      <w:r>
        <w:rPr>
          <w:rFonts w:ascii="Georgia" w:hAnsi="Georgia" w:eastAsia="Georgia" w:cs="Georgia"/>
        </w:rPr>
        <w:t>GDP</w:t>
      </w:r>
      <w:r>
        <w:rPr>
          <w:rFonts w:hint="eastAsia"/>
        </w:rPr>
        <w:t>）与人口规模的交互作用对奖牌数的影响尤为重要。</w:t>
      </w:r>
    </w:p>
    <w:p w14:paraId="25436322">
      <w:pPr>
        <w:ind w:firstLine="480"/>
        <w:rPr>
          <w:rFonts w:hint="eastAsia"/>
        </w:rPr>
      </w:pPr>
      <m:oMathPara>
        <m:oMath>
          <m:r>
            <m:rPr>
              <m:sty m:val="p"/>
            </m:rPr>
            <w:rPr>
              <w:rFonts w:ascii="Cambria Math" w:hAnsi="Cambria Math"/>
            </w:rPr>
            <m:t>log⁡(</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α</m:t>
          </m:r>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GDP</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Population</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GDP</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Population</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ϵ</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4</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Host</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oMath>
      </m:oMathPara>
    </w:p>
    <w:p w14:paraId="253EC899">
      <w:pPr>
        <w:ind w:firstLine="480"/>
        <w:rPr>
          <w:rFonts w:hint="eastAsia"/>
        </w:rPr>
      </w:pPr>
      <w:r>
        <w:rPr>
          <w:rFonts w:hint="eastAsia"/>
        </w:rPr>
        <w:t>在上述模型中，</w:t>
      </w:r>
      <m:oMath>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ascii="Georgia" w:hAnsi="Georgia" w:eastAsia="Georgia" w:cs="Georgia"/>
        </w:rPr>
        <w:t xml:space="preserve"> </w:t>
      </w:r>
      <w:r>
        <w:rPr>
          <w:rFonts w:hint="eastAsia"/>
        </w:rPr>
        <w:t>表示</w:t>
      </w:r>
      <w:r>
        <w:rPr>
          <w:rFonts w:ascii="Georgia" w:hAnsi="Georgia" w:eastAsia="Georgia" w:cs="Georgia"/>
        </w:rPr>
        <w:t>GDP</w:t>
      </w:r>
      <w:r>
        <w:rPr>
          <w:rFonts w:hint="eastAsia"/>
        </w:rPr>
        <w:t>与人口规模的交互项系数，反映了经济与人口共同作用对奖牌数的影响程度。若</w:t>
      </w:r>
      <m:oMath>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&gt;0</m:t>
        </m:r>
      </m:oMath>
      <w:r>
        <w:rPr>
          <w:rFonts w:hint="eastAsia"/>
        </w:rPr>
        <w:t>，则表明经济实力对奖牌数的提升效果在人口规模较大的国家中更为显著。</w:t>
      </w:r>
    </w:p>
    <w:p w14:paraId="52F0F6D9">
      <w:pPr>
        <w:ind w:firstLine="480"/>
        <w:rPr>
          <w:rFonts w:hint="eastAsia"/>
        </w:rPr>
      </w:pPr>
      <w:r>
        <w:rPr>
          <w:rFonts w:hint="eastAsia"/>
        </w:rPr>
        <w:t>其中，</w:t>
      </w:r>
      <m:oMath>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oMath>
      <w:r>
        <w:rPr>
          <w:rFonts w:hint="eastAsia" w:cs="宋体"/>
        </w:rPr>
        <w:t>：国家</w:t>
      </w:r>
      <m:oMath>
        <m:r>
          <m:rPr/>
          <w:rPr>
            <w:rFonts w:ascii="Cambria Math" w:hAnsi="Cambria Math"/>
          </w:rPr>
          <m:t>c</m:t>
        </m:r>
      </m:oMath>
      <w:r>
        <w:rPr>
          <w:rFonts w:hint="eastAsia" w:cs="宋体"/>
        </w:rPr>
        <w:t>在第</w:t>
      </w:r>
      <m:oMath>
        <m:r>
          <m:rPr/>
          <w:rPr>
            <w:rFonts w:ascii="Cambria Math" w:hAnsi="Cambria Math"/>
          </w:rPr>
          <m:t>t</m:t>
        </m:r>
      </m:oMath>
      <w:r>
        <w:rPr>
          <w:rFonts w:hint="eastAsia" w:cs="宋体"/>
        </w:rPr>
        <w:t>届奥运会中的期望奖牌数。</w:t>
      </w:r>
      <m:oMath>
        <m:sSub>
          <m:sSubPr>
            <m:ctrlPr>
              <w:rPr>
                <w:rFonts w:ascii="Cambria Math" w:hAnsi="Cambria Math"/>
              </w:rPr>
            </m:ctrlPr>
          </m:sSubPr>
          <m:e>
            <m:r>
              <m:rPr>
                <m:nor/>
                <m:sty m:val="p"/>
              </m:rPr>
              <m:t>GDP</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oMath>
      <w:r>
        <w:rPr>
          <w:rFonts w:hint="eastAsia" w:cs="宋体"/>
        </w:rPr>
        <w:t>：国家</w:t>
      </w:r>
      <m:oMath>
        <m:r>
          <m:rPr/>
          <w:rPr>
            <w:rFonts w:ascii="Cambria Math" w:hAnsi="Cambria Math"/>
          </w:rPr>
          <m:t>c</m:t>
        </m:r>
      </m:oMath>
      <w:r>
        <w:rPr>
          <w:rFonts w:hint="eastAsia" w:cs="宋体"/>
        </w:rPr>
        <w:t>在第</w:t>
      </w:r>
      <m:oMath>
        <m:r>
          <m:rPr/>
          <w:rPr>
            <w:rFonts w:ascii="Cambria Math" w:hAnsi="Cambria Math"/>
          </w:rPr>
          <m:t>t</m:t>
        </m:r>
      </m:oMath>
      <w:r>
        <w:rPr>
          <w:rFonts w:hint="eastAsia" w:cs="宋体"/>
        </w:rPr>
        <w:t>届奥运会前的国内生产总值。</w:t>
      </w:r>
      <m:oMath>
        <m:sSub>
          <m:sSubPr>
            <m:ctrlPr>
              <w:rPr>
                <w:rFonts w:ascii="Cambria Math" w:hAnsi="Cambria Math"/>
              </w:rPr>
            </m:ctrlPr>
          </m:sSubPr>
          <m:e>
            <m:r>
              <m:rPr>
                <m:nor/>
                <m:sty m:val="p"/>
              </m:rPr>
              <m:t>Population</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oMath>
      <w:r>
        <w:rPr>
          <w:rFonts w:hint="eastAsia" w:cs="宋体"/>
        </w:rPr>
        <w:t>：国家</w:t>
      </w:r>
      <m:oMath>
        <m:r>
          <m:rPr/>
          <w:rPr>
            <w:rFonts w:ascii="Cambria Math" w:hAnsi="Cambria Math"/>
          </w:rPr>
          <m:t>c</m:t>
        </m:r>
      </m:oMath>
      <w:r>
        <w:rPr>
          <w:rFonts w:hint="eastAsia" w:cs="宋体"/>
        </w:rPr>
        <w:t>的总人口数。</w:t>
      </w:r>
      <m:oMath>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cs="宋体"/>
        </w:rPr>
        <w:t>：</w:t>
      </w:r>
      <w:r>
        <w:rPr>
          <w:rFonts w:ascii="Georgia" w:hAnsi="Georgia" w:eastAsia="Georgia" w:cs="Georgia"/>
        </w:rPr>
        <w:t>GDP</w:t>
      </w:r>
      <w:r>
        <w:rPr>
          <w:rFonts w:hint="eastAsia" w:cs="宋体"/>
        </w:rPr>
        <w:t>与人口规模交互项的回归系数。</w:t>
      </w:r>
    </w:p>
    <w:p w14:paraId="013ABB54">
      <w:pPr>
        <w:ind w:firstLine="480"/>
        <w:rPr>
          <w:rFonts w:hint="eastAsia"/>
        </w:rPr>
      </w:pPr>
      <w:r>
        <w:rPr>
          <w:rFonts w:hint="eastAsia"/>
        </w:rPr>
        <w:t>经济实力与人口规模的复合效应揭示了，仅有高</w:t>
      </w:r>
      <w:r>
        <w:rPr>
          <w:rFonts w:ascii="Georgia" w:hAnsi="Georgia" w:eastAsia="Georgia" w:cs="Georgia"/>
        </w:rPr>
        <w:t>GDP</w:t>
      </w:r>
      <w:r>
        <w:rPr>
          <w:rFonts w:hint="eastAsia"/>
        </w:rPr>
        <w:t>或大人口规模并不足以保证奖牌数的提升，二者的结合才能最大化奖牌获取的潜力。这意味着，经济发达且人口基数庞大的国家在奥运会中更具竞争优势，但这种优势需要通过有效的资源配置和训练体系来实现。</w:t>
      </w:r>
    </w:p>
    <w:p w14:paraId="4531267C">
      <w:pPr>
        <w:ind w:firstLine="480"/>
        <w:rPr>
          <w:rFonts w:hint="eastAsia"/>
        </w:rPr>
      </w:pPr>
      <w:r>
        <w:rPr>
          <w:rFonts w:hint="eastAsia"/>
        </w:rPr>
        <w:t>各国奥委会应在制定战略时，不仅关注经济和人口规模的绝对值，还需考虑二者的互动效应。例如，经济较为发达但人口较少的国家可以通过集中资源培养高效运动员群体，而人口众多的国家则可以通过优化训练设施和方法，提升整体运动员的竞争力。</w:t>
      </w:r>
    </w:p>
    <w:p w14:paraId="099E39E5">
      <w:pPr>
        <w:pStyle w:val="12"/>
        <w:rPr>
          <w:rFonts w:hint="eastAsia"/>
        </w:rPr>
      </w:pPr>
      <w:r>
        <w:rPr>
          <w:rFonts w:hint="eastAsia"/>
        </w:rPr>
        <w:t>5.3.2</w:t>
      </w:r>
      <w:r>
        <w:t xml:space="preserve"> </w:t>
      </w:r>
      <w:r>
        <w:rPr>
          <w:rFonts w:hint="eastAsia" w:ascii="宋体" w:hAnsi="宋体" w:eastAsia="宋体" w:cs="宋体"/>
        </w:rPr>
        <w:t>赛事项目多样性与奖牌分布</w:t>
      </w:r>
    </w:p>
    <w:p w14:paraId="161FB2C7">
      <w:pPr>
        <w:ind w:firstLine="480"/>
        <w:rPr>
          <w:rFonts w:hint="eastAsia"/>
        </w:rPr>
      </w:pPr>
      <w:r>
        <w:rPr>
          <w:rFonts w:hint="eastAsia"/>
        </w:rPr>
        <w:t>模型分析表明，赛事项目的数量和多样性对各国奖牌数有显著影响。具体而言，某些项目类别的奖牌数增长对整体奖牌数的提升贡献更大，而项目之间的相互关系也在一定程度上影响着奖牌的分布。</w:t>
      </w:r>
    </w:p>
    <w:p w14:paraId="591A32B1">
      <w:pPr>
        <w:ind w:firstLine="480"/>
        <w:rPr>
          <w:rFonts w:hint="eastAsia"/>
        </w:rPr>
      </w:pPr>
      <w:r>
        <w:rPr>
          <w:rFonts w:hint="eastAsia"/>
        </w:rPr>
        <w:t>数学表达式如下：</w:t>
      </w:r>
    </w:p>
    <w:p w14:paraId="5D178531">
      <w:pPr>
        <w:ind w:firstLine="480"/>
        <w:rPr>
          <w:rFonts w:hint="eastAsia"/>
        </w:rPr>
      </w:pPr>
      <m:oMathPara>
        <m:oMath>
          <m:r>
            <m:rPr>
              <m:sty m:val="p"/>
            </m:rPr>
            <w:rPr>
              <w:rFonts w:ascii="Cambria Math" w:hAnsi="Cambria Math"/>
            </w:rPr>
            <m:t>log⁡(</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α</m:t>
          </m:r>
          <m:r>
            <m:rPr>
              <m:sty m:val="p"/>
            </m:rPr>
            <w:rPr>
              <w:rFonts w:ascii="Cambria Math" w:hAnsi="Cambria Math"/>
            </w:rPr>
            <m:t>+</m:t>
          </m:r>
          <m:nary>
            <m:naryPr>
              <m:chr m:val="∑"/>
              <m:grow m:val="1"/>
              <m:limLoc m:val="undOvr"/>
              <m:supHide m:val="1"/>
              <m:ctrlPr>
                <w:rPr>
                  <w:rFonts w:ascii="Cambria Math" w:hAnsi="Cambria Math"/>
                </w:rPr>
              </m:ctrlPr>
            </m:naryPr>
            <m:sub>
              <m:r>
                <m:rPr/>
                <w:rPr>
                  <w:rFonts w:ascii="Cambria Math" w:hAnsi="Cambria Math"/>
                </w:rPr>
                <m:t>k</m:t>
              </m:r>
              <m:ctrlPr>
                <w:rPr>
                  <w:rFonts w:ascii="Cambria Math" w:hAnsi="Cambria Math"/>
                </w:rPr>
              </m:ctrlPr>
            </m:sub>
            <m:sup>
              <m:ctrlPr>
                <w:rPr>
                  <w:rFonts w:ascii="Cambria Math" w:hAnsi="Cambria Math"/>
                </w:rPr>
              </m:ctrlPr>
            </m:sup>
            <m:e>
              <m:r>
                <m:rPr>
                  <m:sty m:val="p"/>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β</m:t>
              </m:r>
              <m:ctrlPr>
                <w:rPr>
                  <w:rFonts w:ascii="Cambria Math" w:hAnsi="Cambria Math"/>
                </w:rPr>
              </m:ctrlPr>
            </m:e>
            <m:sub>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t</m:t>
              </m:r>
              <m:r>
                <m:rPr>
                  <m:sty m:val="p"/>
                </m:rPr>
                <w:rPr>
                  <w:rFonts w:ascii="Cambria Math" w:hAnsi="Cambria Math"/>
                </w:rPr>
                <m:t>,</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ϵ</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ctrlPr>
                <w:rPr>
                  <w:rFonts w:ascii="Cambria Math" w:hAnsi="Cambria Math"/>
                </w:rPr>
              </m:ctrlPr>
            </m:sub>
          </m:sSub>
          <m:r>
            <m:rPr>
              <m:sty m:val="p"/>
            </m:rPr>
            <w:rPr>
              <w:rFonts w:ascii="Cambria Math" w:hAnsi="Cambria Math"/>
            </w:rPr>
            <m:t>+…</m:t>
          </m:r>
        </m:oMath>
      </m:oMathPara>
    </w:p>
    <w:p w14:paraId="6A5DA149">
      <w:pPr>
        <w:ind w:firstLine="480"/>
        <w:rPr>
          <w:rFonts w:hint="eastAsia"/>
        </w:rPr>
      </w:pPr>
      <w:r>
        <w:rPr>
          <w:rFonts w:hint="eastAsia"/>
        </w:rPr>
        <w:t>其中，</w:t>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t</m:t>
            </m:r>
            <m:r>
              <m:rPr>
                <m:sty m:val="p"/>
              </m:rPr>
              <w:rPr>
                <w:rFonts w:ascii="Cambria Math" w:hAnsi="Cambria Math"/>
              </w:rPr>
              <m:t>,</m:t>
            </m:r>
            <m:r>
              <m:rPr/>
              <w:rPr>
                <w:rFonts w:ascii="Cambria Math" w:hAnsi="Cambria Math"/>
              </w:rPr>
              <m:t>k</m:t>
            </m:r>
            <m:ctrlPr>
              <w:rPr>
                <w:rFonts w:ascii="Cambria Math" w:hAnsi="Cambria Math"/>
              </w:rPr>
            </m:ctrlPr>
          </m:sub>
        </m:sSub>
      </m:oMath>
      <w:r>
        <w:rPr>
          <w:rFonts w:ascii="Georgia" w:hAnsi="Georgia" w:eastAsia="Georgia" w:cs="Georgia"/>
        </w:rPr>
        <w:t xml:space="preserve"> </w:t>
      </w:r>
      <w:r>
        <w:rPr>
          <w:rFonts w:hint="eastAsia"/>
        </w:rPr>
        <w:t>表示第</w:t>
      </w:r>
      <m:oMath>
        <m:r>
          <m:rPr/>
          <w:rPr>
            <w:rFonts w:ascii="Cambria Math" w:hAnsi="Cambria Math"/>
          </w:rPr>
          <m:t>t</m:t>
        </m:r>
      </m:oMath>
      <w:r>
        <w:rPr>
          <w:rFonts w:hint="eastAsia"/>
        </w:rPr>
        <w:t>届奥运会中第</w:t>
      </w:r>
      <m:oMath>
        <m:r>
          <m:rPr/>
          <w:rPr>
            <w:rFonts w:ascii="Cambria Math" w:hAnsi="Cambria Math"/>
          </w:rPr>
          <m:t>k</m:t>
        </m:r>
      </m:oMath>
      <w:r>
        <w:rPr>
          <w:rFonts w:hint="eastAsia"/>
        </w:rPr>
        <w:t>类赛事的数量，</w:t>
      </w:r>
      <m:oMath>
        <m:sSub>
          <m:sSubPr>
            <m:ctrlPr>
              <w:rPr>
                <w:rFonts w:ascii="Cambria Math" w:hAnsi="Cambria Math"/>
              </w:rPr>
            </m:ctrlPr>
          </m:sSubPr>
          <m:e>
            <m:r>
              <m:rPr/>
              <w:rPr>
                <w:rFonts w:ascii="Cambria Math" w:hAnsi="Cambria Math"/>
              </w:rPr>
              <m:t>β</m:t>
            </m:r>
            <m:ctrlPr>
              <w:rPr>
                <w:rFonts w:ascii="Cambria Math" w:hAnsi="Cambria Math"/>
              </w:rPr>
            </m:ctrlPr>
          </m:e>
          <m:sub>
            <m:r>
              <m:rPr/>
              <w:rPr>
                <w:rFonts w:ascii="Cambria Math" w:hAnsi="Cambria Math"/>
              </w:rPr>
              <m:t>k</m:t>
            </m:r>
            <m:ctrlPr>
              <w:rPr>
                <w:rFonts w:ascii="Cambria Math" w:hAnsi="Cambria Math"/>
              </w:rPr>
            </m:ctrlPr>
          </m:sub>
        </m:sSub>
      </m:oMath>
      <w:r>
        <w:rPr>
          <w:rFonts w:ascii="Georgia" w:hAnsi="Georgia" w:eastAsia="Georgia" w:cs="Georgia"/>
        </w:rPr>
        <w:t xml:space="preserve"> </w:t>
      </w:r>
      <w:r>
        <w:rPr>
          <w:rFonts w:hint="eastAsia"/>
        </w:rPr>
        <w:t>是对应赛事类别的回归系数，反映了该类别赛事数量对奖牌数的影响。</w:t>
      </w:r>
    </w:p>
    <w:p w14:paraId="25014A5C">
      <w:pPr>
        <w:ind w:firstLine="482"/>
        <w:rPr>
          <w:rFonts w:hint="eastAsia"/>
        </w:rPr>
      </w:pPr>
      <w:r>
        <w:rPr>
          <w:b/>
        </w:rPr>
        <w:t>符号说明：</w:t>
      </w:r>
    </w:p>
    <w:p w14:paraId="3D8E60EC">
      <w:pPr>
        <w:ind w:firstLine="480"/>
        <w:rPr>
          <w:rFonts w:hint="eastAsia"/>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t</m:t>
            </m:r>
            <m:r>
              <m:rPr>
                <m:sty m:val="p"/>
              </m:rPr>
              <w:rPr>
                <w:rFonts w:ascii="Cambria Math" w:hAnsi="Cambria Math"/>
              </w:rPr>
              <m:t>,</m:t>
            </m:r>
            <m:r>
              <m:rPr/>
              <w:rPr>
                <w:rFonts w:ascii="Cambria Math" w:hAnsi="Cambria Math"/>
              </w:rPr>
              <m:t>k</m:t>
            </m:r>
            <m:ctrlPr>
              <w:rPr>
                <w:rFonts w:ascii="Cambria Math" w:hAnsi="Cambria Math"/>
              </w:rPr>
            </m:ctrlPr>
          </m:sub>
        </m:sSub>
      </m:oMath>
      <w:r>
        <w:rPr>
          <w:rFonts w:hint="eastAsia"/>
        </w:rPr>
        <w:t>：第</w:t>
      </w:r>
      <m:oMath>
        <m:r>
          <m:rPr/>
          <w:rPr>
            <w:rFonts w:ascii="Cambria Math" w:hAnsi="Cambria Math"/>
          </w:rPr>
          <m:t>t</m:t>
        </m:r>
      </m:oMath>
      <w:r>
        <w:rPr>
          <w:rFonts w:hint="eastAsia"/>
        </w:rPr>
        <w:t>届奥运会中第</w:t>
      </w:r>
      <m:oMath>
        <m:r>
          <m:rPr/>
          <w:rPr>
            <w:rFonts w:ascii="Cambria Math" w:hAnsi="Cambria Math"/>
          </w:rPr>
          <m:t>k</m:t>
        </m:r>
      </m:oMath>
      <w:r>
        <w:rPr>
          <w:rFonts w:hint="eastAsia"/>
        </w:rPr>
        <w:t>类赛事的数量。</w:t>
      </w:r>
    </w:p>
    <w:p w14:paraId="1A290BBD">
      <w:pPr>
        <w:ind w:firstLine="480"/>
        <w:rPr>
          <w:rFonts w:hint="eastAsia"/>
        </w:rPr>
      </w:pPr>
      <m:oMath>
        <m:sSub>
          <m:sSubPr>
            <m:ctrlPr>
              <w:rPr>
                <w:rFonts w:ascii="Cambria Math" w:hAnsi="Cambria Math"/>
              </w:rPr>
            </m:ctrlPr>
          </m:sSubPr>
          <m:e>
            <m:r>
              <m:rPr/>
              <w:rPr>
                <w:rFonts w:ascii="Cambria Math" w:hAnsi="Cambria Math"/>
              </w:rPr>
              <m:t>β</m:t>
            </m:r>
            <m:ctrlPr>
              <w:rPr>
                <w:rFonts w:ascii="Cambria Math" w:hAnsi="Cambria Math"/>
              </w:rPr>
            </m:ctrlPr>
          </m:e>
          <m:sub>
            <m:r>
              <m:rPr/>
              <w:rPr>
                <w:rFonts w:ascii="Cambria Math" w:hAnsi="Cambria Math"/>
              </w:rPr>
              <m:t>k</m:t>
            </m:r>
            <m:ctrlPr>
              <w:rPr>
                <w:rFonts w:ascii="Cambria Math" w:hAnsi="Cambria Math"/>
              </w:rPr>
            </m:ctrlPr>
          </m:sub>
        </m:sSub>
      </m:oMath>
      <w:r>
        <w:rPr>
          <w:rFonts w:hint="eastAsia"/>
        </w:rPr>
        <w:t>：第</w:t>
      </w:r>
      <m:oMath>
        <m:r>
          <m:rPr/>
          <w:rPr>
            <w:rFonts w:ascii="Cambria Math" w:hAnsi="Cambria Math"/>
          </w:rPr>
          <m:t>k</m:t>
        </m:r>
      </m:oMath>
      <w:r>
        <w:rPr>
          <w:rFonts w:hint="eastAsia"/>
        </w:rPr>
        <w:t>类赛事数量的回归系数。</w:t>
      </w:r>
    </w:p>
    <w:p w14:paraId="33B40882">
      <w:pPr>
        <w:ind w:firstLine="480"/>
        <w:rPr>
          <w:rFonts w:hint="eastAsia"/>
        </w:rPr>
      </w:pPr>
      <w:r>
        <w:rPr>
          <w:rFonts w:hint="eastAsia"/>
        </w:rPr>
        <w:t>不同类别的赛事对奖牌数的贡献不同。例如，田径和游泳类项目通常包含更多的比赛项目，因此对总奖牌数的影响更为显著。而某些技术性较强或参赛国家较少的项目，其奖牌数增长可能有限。此外，赛事项目的多样性还影响着各国在特定项目上的专长和竞争力，进而影响整体奖牌的分布。</w:t>
      </w:r>
    </w:p>
    <w:p w14:paraId="1CB73B92">
      <w:pPr>
        <w:ind w:firstLine="480"/>
        <w:rPr>
          <w:rFonts w:hint="eastAsia"/>
        </w:rPr>
      </w:pPr>
      <w:r>
        <w:rPr>
          <w:rFonts w:hint="eastAsia"/>
        </w:rPr>
        <w:t>各国奥委会应根据自身在不同赛事项目上的优势和潜力，合理规划资源投入和项目选择。通过增加在具有潜在高奖牌产出的项目上的投入，可以有效提升整体奖牌数。同时，注重项目的多样性，可以减少对单一项目的过度依赖，分散风险，提升在多个项目上的竞争力。</w:t>
      </w:r>
    </w:p>
    <w:p w14:paraId="3C75096F">
      <w:pPr>
        <w:pStyle w:val="12"/>
        <w:rPr>
          <w:rFonts w:hint="eastAsia"/>
        </w:rPr>
      </w:pPr>
      <w:r>
        <w:rPr>
          <w:rFonts w:hint="eastAsia"/>
        </w:rPr>
        <w:t>5.3.</w:t>
      </w:r>
      <w:r>
        <w:t xml:space="preserve">3 </w:t>
      </w:r>
      <w:r>
        <w:rPr>
          <w:rFonts w:hint="eastAsia" w:ascii="宋体" w:hAnsi="宋体" w:eastAsia="宋体" w:cs="宋体"/>
        </w:rPr>
        <w:t>主办国效应的长期影响</w:t>
      </w:r>
    </w:p>
    <w:p w14:paraId="70F7C668">
      <w:pPr>
        <w:ind w:firstLine="480"/>
        <w:rPr>
          <w:rFonts w:hint="eastAsia"/>
        </w:rPr>
      </w:pPr>
      <w:r>
        <w:rPr>
          <w:rFonts w:hint="eastAsia"/>
        </w:rPr>
        <w:t>模型揭示，主办国在举办奥运会期间通常会显著提升其奖牌数，但这种效应不仅限于赛事期间，还可能对后续几届奥运会产生持续影响。这种长期效应可能源自于基础设施的改善、体育项目的推广以及运动员训练水平的提升。</w:t>
      </w:r>
    </w:p>
    <w:p w14:paraId="6C8370E0">
      <w:pPr>
        <w:ind w:firstLine="480"/>
        <w:rPr>
          <w:rFonts w:hint="eastAsia"/>
        </w:rPr>
      </w:pPr>
      <w:r>
        <w:rPr>
          <w:rFonts w:hint="eastAsia"/>
        </w:rPr>
        <w:t>数学表达式如下：</w:t>
      </w:r>
    </w:p>
    <w:p w14:paraId="098E2D33">
      <w:pPr>
        <w:ind w:firstLine="480"/>
        <w:rPr>
          <w:rFonts w:hint="eastAsia"/>
        </w:rPr>
      </w:pPr>
      <m:oMathPara>
        <m:oMath>
          <m:r>
            <m:rPr>
              <m:sty m:val="p"/>
            </m:rPr>
            <w:rPr>
              <w:rFonts w:ascii="Cambria Math" w:hAnsi="Cambria Math"/>
            </w:rPr>
            <m:t>log⁡(</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α</m:t>
          </m:r>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4</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Host</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ϵ</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ctrlPr>
                <w:rPr>
                  <w:rFonts w:ascii="Cambria Math" w:hAnsi="Cambria Math"/>
                </w:rPr>
              </m:ctrlPr>
            </m:sub>
          </m:sSub>
          <m:r>
            <m:rPr>
              <m:sty m:val="p"/>
            </m:rPr>
            <w:rPr>
              <w:rFonts w:ascii="Cambria Math" w:hAnsi="Cambria Math"/>
            </w:rPr>
            <m:t>+…</m:t>
          </m:r>
        </m:oMath>
      </m:oMathPara>
    </w:p>
    <w:p w14:paraId="2E68BFB1">
      <w:pPr>
        <w:ind w:firstLine="480"/>
        <w:rPr>
          <w:rFonts w:hint="eastAsia"/>
        </w:rPr>
      </w:pPr>
      <w:r>
        <w:rPr>
          <w:rFonts w:hint="eastAsia"/>
        </w:rPr>
        <w:t>其中，</w:t>
      </w:r>
      <m:oMath>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4</m:t>
            </m:r>
            <m:ctrlPr>
              <w:rPr>
                <w:rFonts w:ascii="Cambria Math" w:hAnsi="Cambria Math"/>
              </w:rPr>
            </m:ctrlPr>
          </m:sub>
        </m:sSub>
      </m:oMath>
      <w:r>
        <w:rPr>
          <w:rFonts w:ascii="Georgia" w:hAnsi="Georgia" w:eastAsia="Georgia" w:cs="Georgia"/>
        </w:rPr>
        <w:t xml:space="preserve"> </w:t>
      </w:r>
      <w:r>
        <w:rPr>
          <w:rFonts w:hint="eastAsia"/>
        </w:rPr>
        <w:t>表示主办国效应的回归系数，反映了作为主办国对奖牌数的直接影响。同时，可以引入滞后项来捕捉主办国效应的长期影响：</w:t>
      </w:r>
    </w:p>
    <w:p w14:paraId="038EABB1">
      <w:pPr>
        <w:ind w:firstLine="480"/>
        <w:rPr>
          <w:rFonts w:hint="eastAsia"/>
        </w:rPr>
      </w:pPr>
      <m:oMathPara>
        <m:oMath>
          <m:r>
            <m:rPr>
              <m:sty m:val="p"/>
            </m:rPr>
            <w:rPr>
              <w:rFonts w:ascii="Cambria Math" w:hAnsi="Cambria Math"/>
            </w:rPr>
            <m:t>log⁡(</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α</m:t>
          </m:r>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4</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Host</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5</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Host</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ϵ</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ctrlPr>
                <w:rPr>
                  <w:rFonts w:ascii="Cambria Math" w:hAnsi="Cambria Math"/>
                </w:rPr>
              </m:ctrlPr>
            </m:sub>
          </m:sSub>
          <m:r>
            <m:rPr>
              <m:sty m:val="p"/>
            </m:rPr>
            <w:rPr>
              <w:rFonts w:ascii="Cambria Math" w:hAnsi="Cambria Math"/>
            </w:rPr>
            <m:t>+…</m:t>
          </m:r>
        </m:oMath>
      </m:oMathPara>
    </w:p>
    <w:p w14:paraId="343DC8AB">
      <w:pPr>
        <w:ind w:firstLine="480"/>
        <w:rPr>
          <w:rFonts w:hint="eastAsia"/>
          <w:bCs/>
        </w:rPr>
      </w:pPr>
      <w:r>
        <w:rPr>
          <w:rFonts w:hint="eastAsia"/>
          <w:bCs/>
        </w:rPr>
        <w:t>其中，</w:t>
      </w:r>
      <m:oMath>
        <m:sSub>
          <m:sSubPr>
            <m:ctrlPr>
              <w:rPr>
                <w:rFonts w:ascii="Cambria Math" w:hAnsi="Cambria Math"/>
                <w:bCs/>
              </w:rPr>
            </m:ctrlPr>
          </m:sSubPr>
          <m:e>
            <m:r>
              <m:rPr>
                <m:nor/>
                <m:sty m:val="p"/>
              </m:rPr>
              <w:rPr>
                <w:bCs/>
              </w:rPr>
              <m:t>Host</m:t>
            </m:r>
            <m:ctrlPr>
              <w:rPr>
                <w:rFonts w:ascii="Cambria Math" w:hAnsi="Cambria Math"/>
                <w:bCs/>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bCs/>
              </w:rPr>
            </m:ctrlPr>
          </m:sub>
        </m:sSub>
      </m:oMath>
      <w:r>
        <w:rPr>
          <w:rFonts w:hint="eastAsia"/>
          <w:bCs/>
        </w:rPr>
        <w:t>：二元变量，表示国家</w:t>
      </w:r>
      <m:oMath>
        <m:r>
          <m:rPr/>
          <w:rPr>
            <w:rFonts w:ascii="Cambria Math" w:hAnsi="Cambria Math"/>
          </w:rPr>
          <m:t>c</m:t>
        </m:r>
      </m:oMath>
      <w:r>
        <w:rPr>
          <w:rFonts w:hint="eastAsia"/>
          <w:bCs/>
        </w:rPr>
        <w:t>是否为第</w:t>
      </w:r>
      <m:oMath>
        <m:r>
          <m:rPr/>
          <w:rPr>
            <w:rFonts w:ascii="Cambria Math" w:hAnsi="Cambria Math"/>
          </w:rPr>
          <m:t>t</m:t>
        </m:r>
      </m:oMath>
      <w:r>
        <w:rPr>
          <w:rFonts w:hint="eastAsia"/>
          <w:bCs/>
        </w:rPr>
        <w:t>届奥运会的主办国。</w:t>
      </w:r>
      <m:oMath>
        <m:sSub>
          <m:sSubPr>
            <m:ctrlPr>
              <w:rPr>
                <w:rFonts w:ascii="Cambria Math" w:hAnsi="Cambria Math"/>
                <w:bCs/>
              </w:rPr>
            </m:ctrlPr>
          </m:sSubPr>
          <m:e>
            <m:r>
              <m:rPr/>
              <w:rPr>
                <w:rFonts w:ascii="Cambria Math" w:hAnsi="Cambria Math"/>
              </w:rPr>
              <m:t>β</m:t>
            </m:r>
            <m:ctrlPr>
              <w:rPr>
                <w:rFonts w:ascii="Cambria Math" w:hAnsi="Cambria Math"/>
                <w:bCs/>
              </w:rPr>
            </m:ctrlPr>
          </m:e>
          <m:sub>
            <m:r>
              <m:rPr>
                <m:sty m:val="p"/>
              </m:rPr>
              <w:rPr>
                <w:rFonts w:ascii="Cambria Math" w:hAnsi="Cambria Math"/>
              </w:rPr>
              <m:t>4</m:t>
            </m:r>
            <m:ctrlPr>
              <w:rPr>
                <w:rFonts w:ascii="Cambria Math" w:hAnsi="Cambria Math"/>
                <w:bCs/>
              </w:rPr>
            </m:ctrlPr>
          </m:sub>
        </m:sSub>
      </m:oMath>
      <w:r>
        <w:rPr>
          <w:rFonts w:hint="eastAsia"/>
          <w:bCs/>
        </w:rPr>
        <w:t>：主办国效应的回归系数。</w:t>
      </w:r>
      <m:oMath>
        <m:sSub>
          <m:sSubPr>
            <m:ctrlPr>
              <w:rPr>
                <w:rFonts w:ascii="Cambria Math" w:hAnsi="Cambria Math"/>
                <w:bCs/>
              </w:rPr>
            </m:ctrlPr>
          </m:sSubPr>
          <m:e>
            <m:r>
              <m:rPr/>
              <w:rPr>
                <w:rFonts w:ascii="Cambria Math" w:hAnsi="Cambria Math"/>
              </w:rPr>
              <m:t>β</m:t>
            </m:r>
            <m:ctrlPr>
              <w:rPr>
                <w:rFonts w:ascii="Cambria Math" w:hAnsi="Cambria Math"/>
                <w:bCs/>
              </w:rPr>
            </m:ctrlPr>
          </m:e>
          <m:sub>
            <m:r>
              <m:rPr>
                <m:sty m:val="p"/>
              </m:rPr>
              <w:rPr>
                <w:rFonts w:ascii="Cambria Math" w:hAnsi="Cambria Math"/>
              </w:rPr>
              <m:t>5</m:t>
            </m:r>
            <m:ctrlPr>
              <w:rPr>
                <w:rFonts w:ascii="Cambria Math" w:hAnsi="Cambria Math"/>
                <w:bCs/>
              </w:rPr>
            </m:ctrlPr>
          </m:sub>
        </m:sSub>
      </m:oMath>
      <w:r>
        <w:rPr>
          <w:rFonts w:hint="eastAsia"/>
          <w:bCs/>
        </w:rPr>
        <w:t>：主办国效应的滞后项回归系数。</w:t>
      </w:r>
    </w:p>
    <w:p w14:paraId="41481F90">
      <w:pPr>
        <w:ind w:firstLine="480"/>
        <w:rPr>
          <w:rFonts w:hint="eastAsia"/>
        </w:rPr>
      </w:pPr>
      <w:r>
        <w:rPr>
          <w:rFonts w:hint="eastAsia"/>
        </w:rPr>
        <w:t>主办国效应表明，作为主办国会在该届奥运会上获得更多奖牌，这一效应可能部分由于国家在基础设施建设、运动员训练以及赛事项目优化上的投入增加。此外，主办国效应的滞后项说明，举办奥运会后的几届奥运会中，主办国可能仍保持较高的奖牌数，这反映了主办国在体育发展上的持续投入和改善。</w:t>
      </w:r>
    </w:p>
    <w:p w14:paraId="06EFB02E">
      <w:pPr>
        <w:ind w:firstLine="480"/>
        <w:rPr>
          <w:rFonts w:hint="eastAsia"/>
        </w:rPr>
      </w:pPr>
      <w:r>
        <w:rPr>
          <w:rFonts w:hint="eastAsia"/>
        </w:rPr>
        <w:t>即使不担任主办国，各国奥委会也可以借鉴主办国在举办奥运会期间的成功经验，持续提升自身的体育基础设施和训练水平，以实现长期的奖牌数增长。此外，主办国的经验表明，举办奥运会不仅是展示国家形象的机会，也是推动体育发展的重要契机，各国可以通过参与国际赛事和合作，提升自身在体育领域的综合实力。</w:t>
      </w:r>
    </w:p>
    <w:p w14:paraId="34469886">
      <w:pPr>
        <w:pStyle w:val="12"/>
        <w:rPr>
          <w:rFonts w:hint="eastAsia"/>
        </w:rPr>
      </w:pPr>
      <w:r>
        <w:rPr>
          <w:rFonts w:hint="eastAsia"/>
        </w:rPr>
        <w:t>5.3.4</w:t>
      </w:r>
      <w:r>
        <w:t xml:space="preserve"> </w:t>
      </w:r>
      <w:r>
        <w:rPr>
          <w:rFonts w:hint="eastAsia" w:ascii="宋体" w:hAnsi="宋体" w:eastAsia="宋体" w:cs="宋体"/>
        </w:rPr>
        <w:t>运动项目专精与奖牌效率</w:t>
      </w:r>
    </w:p>
    <w:p w14:paraId="13560EEB">
      <w:pPr>
        <w:ind w:firstLine="480"/>
        <w:rPr>
          <w:rFonts w:hint="eastAsia"/>
        </w:rPr>
      </w:pPr>
      <w:r>
        <w:rPr>
          <w:rFonts w:hint="eastAsia"/>
        </w:rPr>
        <w:t>模型还揭示了各国在特定运动项目上的专精程度与其奖牌效率之间的关系。奖牌效率指的是单位资源（如</w:t>
      </w:r>
      <w:r>
        <w:rPr>
          <w:rFonts w:ascii="Georgia" w:hAnsi="Georgia" w:eastAsia="Georgia" w:cs="Georgia"/>
        </w:rPr>
        <w:t>GDP</w:t>
      </w:r>
      <w:r>
        <w:rPr>
          <w:rFonts w:hint="eastAsia"/>
        </w:rPr>
        <w:t>、人均</w:t>
      </w:r>
      <w:r>
        <w:rPr>
          <w:rFonts w:ascii="Georgia" w:hAnsi="Georgia" w:eastAsia="Georgia" w:cs="Georgia"/>
        </w:rPr>
        <w:t>GDP</w:t>
      </w:r>
      <w:r>
        <w:rPr>
          <w:rFonts w:hint="eastAsia"/>
        </w:rPr>
        <w:t>、运动员数量）所产生的奖牌数。某些国家在特定项目上的高效表现，表明其在该项目上的资源利用效率较高。</w:t>
      </w:r>
    </w:p>
    <w:p w14:paraId="678716B9">
      <w:pPr>
        <w:ind w:firstLine="480"/>
        <w:rPr>
          <w:rFonts w:hint="eastAsia"/>
        </w:rPr>
      </w:pPr>
      <w:r>
        <w:rPr>
          <w:rFonts w:hint="eastAsia"/>
        </w:rPr>
        <w:t>数学表达式如下：</w:t>
      </w:r>
    </w:p>
    <w:p w14:paraId="447FB0BE">
      <w:pPr>
        <w:ind w:firstLine="480"/>
        <w:rPr>
          <w:rFonts w:hint="eastAsia"/>
        </w:rPr>
      </w:pPr>
      <m:oMathPara>
        <m:oMath>
          <m:r>
            <m:rPr>
              <m:sty m:val="p"/>
            </m:rPr>
            <w:rPr>
              <w:rFonts w:ascii="Cambria Math" w:hAnsi="Cambria Math"/>
            </w:rPr>
            <m:t>log⁡(</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α</m:t>
          </m:r>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6</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Efficiency</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ϵ</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ctrlPr>
                <w:rPr>
                  <w:rFonts w:ascii="Cambria Math" w:hAnsi="Cambria Math"/>
                </w:rPr>
              </m:ctrlPr>
            </m:sub>
          </m:sSub>
          <m:r>
            <m:rPr>
              <m:sty m:val="p"/>
            </m:rPr>
            <w:rPr>
              <w:rFonts w:ascii="Cambria Math" w:hAnsi="Cambria Math"/>
            </w:rPr>
            <m:t>+…</m:t>
          </m:r>
        </m:oMath>
      </m:oMathPara>
    </w:p>
    <w:p w14:paraId="71AC3453">
      <w:pPr>
        <w:ind w:firstLine="480"/>
        <w:rPr>
          <w:rFonts w:hint="eastAsia"/>
        </w:rPr>
      </w:pPr>
      <w:r>
        <w:rPr>
          <w:rFonts w:hint="eastAsia"/>
        </w:rPr>
        <w:t>其中，</w:t>
      </w:r>
      <m:oMath>
        <m:sSub>
          <m:sSubPr>
            <m:ctrlPr>
              <w:rPr>
                <w:rFonts w:ascii="Cambria Math" w:hAnsi="Cambria Math"/>
              </w:rPr>
            </m:ctrlPr>
          </m:sSubPr>
          <m:e>
            <m:r>
              <m:rPr>
                <m:nor/>
                <m:sty m:val="p"/>
              </m:rPr>
              <m:t>Efficiency</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oMath>
      <w:r>
        <w:rPr>
          <w:rFonts w:ascii="Georgia" w:hAnsi="Georgia" w:eastAsia="Georgia" w:cs="Georgia"/>
        </w:rPr>
        <w:t xml:space="preserve"> </w:t>
      </w:r>
      <w:r>
        <w:rPr>
          <w:rFonts w:hint="eastAsia"/>
        </w:rPr>
        <w:t>表示国家</w:t>
      </w:r>
      <m:oMath>
        <m:r>
          <m:rPr/>
          <w:rPr>
            <w:rFonts w:ascii="Cambria Math" w:hAnsi="Cambria Math"/>
          </w:rPr>
          <m:t>c</m:t>
        </m:r>
      </m:oMath>
      <w:r>
        <w:rPr>
          <w:rFonts w:hint="eastAsia"/>
        </w:rPr>
        <w:t>在运动项目</w:t>
      </w:r>
      <m:oMath>
        <m:r>
          <m:rPr/>
          <w:rPr>
            <w:rFonts w:ascii="Cambria Math" w:hAnsi="Cambria Math"/>
          </w:rPr>
          <m:t>s</m:t>
        </m:r>
      </m:oMath>
      <w:r>
        <w:rPr>
          <w:rFonts w:hint="eastAsia"/>
        </w:rPr>
        <w:t>于第</w:t>
      </w:r>
      <m:oMath>
        <m:r>
          <m:rPr/>
          <w:rPr>
            <w:rFonts w:ascii="Cambria Math" w:hAnsi="Cambria Math"/>
          </w:rPr>
          <m:t>t</m:t>
        </m:r>
      </m:oMath>
      <w:r>
        <w:rPr>
          <w:rFonts w:hint="eastAsia"/>
        </w:rPr>
        <w:t>届奥运会中的奖牌效率指标，如每单位</w:t>
      </w:r>
      <w:r>
        <w:rPr>
          <w:rFonts w:ascii="Georgia" w:hAnsi="Georgia" w:eastAsia="Georgia" w:cs="Georgia"/>
        </w:rPr>
        <w:t>GDP</w:t>
      </w:r>
      <w:r>
        <w:rPr>
          <w:rFonts w:hint="eastAsia"/>
        </w:rPr>
        <w:t>所获得的奖牌数。</w:t>
      </w:r>
    </w:p>
    <w:p w14:paraId="1B196AA8">
      <w:pPr>
        <w:ind w:firstLine="480"/>
        <w:rPr>
          <w:rFonts w:hint="eastAsia"/>
        </w:rPr>
      </w:pPr>
      <w:r>
        <w:rPr>
          <w:rFonts w:hint="eastAsia"/>
          <w:bCs/>
        </w:rPr>
        <w:t>其中，</w:t>
      </w:r>
      <m:oMath>
        <m:sSub>
          <m:sSubPr>
            <m:ctrlPr>
              <w:rPr>
                <w:rFonts w:ascii="Cambria Math" w:hAnsi="Cambria Math"/>
              </w:rPr>
            </m:ctrlPr>
          </m:sSubPr>
          <m:e>
            <m:r>
              <m:rPr>
                <m:nor/>
                <m:sty m:val="p"/>
              </m:rPr>
              <m:t>Efficiency</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sub>
        </m:sSub>
      </m:oMath>
      <w:r>
        <w:rPr>
          <w:rFonts w:hint="eastAsia"/>
        </w:rPr>
        <w:t>：奖牌效率指标，衡量单位资源产生的奖牌数。</w:t>
      </w:r>
      <m:oMath>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6</m:t>
            </m:r>
            <m:ctrlPr>
              <w:rPr>
                <w:rFonts w:ascii="Cambria Math" w:hAnsi="Cambria Math"/>
              </w:rPr>
            </m:ctrlPr>
          </m:sub>
        </m:sSub>
      </m:oMath>
      <w:r>
        <w:rPr>
          <w:rFonts w:hint="eastAsia"/>
        </w:rPr>
        <w:t>：奖牌效率指标的回归系数。</w:t>
      </w:r>
    </w:p>
    <w:p w14:paraId="391D7A69">
      <w:pPr>
        <w:ind w:firstLine="480"/>
        <w:rPr>
          <w:rFonts w:hint="eastAsia"/>
        </w:rPr>
      </w:pPr>
      <w:r>
        <w:rPr>
          <w:rFonts w:hint="eastAsia"/>
        </w:rPr>
        <w:t>奖牌效率揭示了资源利用的效果，某些国家在特定项目上表现出高效的奖牌获取能力，说明其在该项目上的训练方法、运动员选拔和资源分配更为优化。通过提升奖牌效率，国家可以在资源有限的情况下，最大化奖牌数的获取。</w:t>
      </w:r>
    </w:p>
    <w:p w14:paraId="525CD211">
      <w:pPr>
        <w:ind w:firstLine="480"/>
        <w:rPr>
          <w:rFonts w:hint="eastAsia"/>
        </w:rPr>
      </w:pPr>
      <w:r>
        <w:rPr>
          <w:rFonts w:hint="eastAsia"/>
        </w:rPr>
        <w:t>各国奥委会应通过分析奖牌效率，识别出在资源利用上具有高效表现的运动项目，并进一步优化训练和资源分配策略。此外，研究和借鉴高效国家在特定项目上的成功经验，可以帮助其他国家提升自身在这些项目上的竞争力，从而在有限资源下实现奖牌数的最大化。</w:t>
      </w:r>
    </w:p>
    <w:p w14:paraId="4DF3A8D2">
      <w:pPr>
        <w:pStyle w:val="12"/>
        <w:rPr>
          <w:rFonts w:hint="eastAsia"/>
        </w:rPr>
      </w:pPr>
      <w:r>
        <w:rPr>
          <w:rFonts w:hint="eastAsia"/>
        </w:rPr>
        <w:t>5.3.</w:t>
      </w:r>
      <w:r>
        <w:t xml:space="preserve">5 </w:t>
      </w:r>
      <w:r>
        <w:rPr>
          <w:rFonts w:hint="eastAsia" w:ascii="宋体" w:hAnsi="宋体" w:eastAsia="宋体" w:cs="宋体"/>
        </w:rPr>
        <w:t>社会文化因素与奖牌数</w:t>
      </w:r>
    </w:p>
    <w:p w14:paraId="17A0678B">
      <w:pPr>
        <w:ind w:firstLine="480"/>
        <w:rPr>
          <w:rFonts w:hint="eastAsia"/>
        </w:rPr>
      </w:pPr>
      <w:r>
        <w:rPr>
          <w:rFonts w:hint="eastAsia"/>
        </w:rPr>
        <w:t>模型还发现，社会文化因素对奖牌数的影响不容忽视。具体而言，某些国家由于文化传统、体育习惯和社会重视程度，对特定运动项目有天然的优势。这些因素通过固定效应在模型中得以体现，说明了社会文化在奖牌数分布中的重要作用。</w:t>
      </w:r>
    </w:p>
    <w:p w14:paraId="7FB0FE82">
      <w:pPr>
        <w:ind w:firstLine="480"/>
        <w:rPr>
          <w:rFonts w:hint="eastAsia"/>
        </w:rPr>
      </w:pPr>
      <w:r>
        <w:rPr>
          <w:rFonts w:hint="eastAsia"/>
        </w:rPr>
        <w:t>数学表达式如下：</w:t>
      </w:r>
    </w:p>
    <w:p w14:paraId="4420B836">
      <w:pPr>
        <w:ind w:firstLine="480"/>
        <w:rPr>
          <w:rFonts w:hint="eastAsia"/>
        </w:rPr>
      </w:pPr>
      <m:oMathPara>
        <m:oMath>
          <m:r>
            <m:rPr>
              <m:sty m:val="p"/>
            </m:rPr>
            <w:rPr>
              <w:rFonts w:ascii="Cambria Math" w:hAnsi="Cambria Math"/>
            </w:rPr>
            <m:t>log⁡(</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α</m:t>
          </m:r>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7</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CulturalFactor</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ϵ</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ctrlPr>
                <w:rPr>
                  <w:rFonts w:ascii="Cambria Math" w:hAnsi="Cambria Math"/>
                </w:rPr>
              </m:ctrlPr>
            </m:sub>
          </m:sSub>
          <m:r>
            <m:rPr>
              <m:sty m:val="p"/>
            </m:rPr>
            <w:rPr>
              <w:rFonts w:ascii="Cambria Math" w:hAnsi="Cambria Math"/>
            </w:rPr>
            <m:t>+…</m:t>
          </m:r>
        </m:oMath>
      </m:oMathPara>
    </w:p>
    <w:p w14:paraId="3647DA8A">
      <w:pPr>
        <w:ind w:firstLine="480"/>
        <w:rPr>
          <w:rFonts w:hint="eastAsia"/>
        </w:rPr>
      </w:pPr>
      <w:r>
        <w:rPr>
          <w:rFonts w:hint="eastAsia"/>
        </w:rPr>
        <w:t>其中，</w:t>
      </w:r>
      <m:oMath>
        <m:sSub>
          <m:sSubPr>
            <m:ctrlPr>
              <w:rPr>
                <w:rFonts w:ascii="Cambria Math" w:hAnsi="Cambria Math"/>
              </w:rPr>
            </m:ctrlPr>
          </m:sSubPr>
          <m:e>
            <m:r>
              <m:rPr>
                <m:nor/>
                <m:sty m:val="p"/>
              </m:rPr>
              <m:t>CulturalFactor</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oMath>
      <w:r>
        <w:rPr>
          <w:rFonts w:ascii="Georgia" w:hAnsi="Georgia" w:eastAsia="Georgia" w:cs="Georgia"/>
        </w:rPr>
        <w:t xml:space="preserve"> </w:t>
      </w:r>
      <w:r>
        <w:rPr>
          <w:rFonts w:hint="eastAsia"/>
        </w:rPr>
        <w:t>表示国家</w:t>
      </w:r>
      <m:oMath>
        <m:r>
          <m:rPr/>
          <w:rPr>
            <w:rFonts w:ascii="Cambria Math" w:hAnsi="Cambria Math"/>
          </w:rPr>
          <m:t>c</m:t>
        </m:r>
      </m:oMath>
      <w:r>
        <w:rPr>
          <w:rFonts w:hint="eastAsia"/>
        </w:rPr>
        <w:t>在第</w:t>
      </w:r>
      <m:oMath>
        <m:r>
          <m:rPr/>
          <w:rPr>
            <w:rFonts w:ascii="Cambria Math" w:hAnsi="Cambria Math"/>
          </w:rPr>
          <m:t>t</m:t>
        </m:r>
      </m:oMath>
      <w:r>
        <w:rPr>
          <w:rFonts w:hint="eastAsia"/>
        </w:rPr>
        <w:t>届奥运会中的社会文化因素指标，如体育传统指数、社会对体育的投入程度等。</w:t>
      </w:r>
    </w:p>
    <w:p w14:paraId="1B608A39">
      <w:pPr>
        <w:ind w:firstLine="480"/>
        <w:rPr>
          <w:rFonts w:hint="eastAsia"/>
        </w:rPr>
      </w:pPr>
      <w:r>
        <w:rPr>
          <w:rFonts w:hint="eastAsia"/>
        </w:rPr>
        <w:t>社会文化因素影响着国家在特定运动项目上的参与度和竞争力。文化传统深厚的国家在相关项目上往往具有较高的奖牌数，这反映了文化对体育发展的驱动力。社会对体育的高度重视和投入，也能显著提升运动员的训练质量和比赛表现，从而增加奖牌获取的机会。</w:t>
      </w:r>
    </w:p>
    <w:p w14:paraId="61A362E1">
      <w:pPr>
        <w:ind w:firstLine="480"/>
        <w:rPr>
          <w:rFonts w:hint="eastAsia"/>
        </w:rPr>
      </w:pPr>
      <w:r>
        <w:rPr>
          <w:rFonts w:hint="eastAsia"/>
        </w:rPr>
        <w:t>各国奥委会应重视社会文化因素在体育发展中的作用，通过推广体育文化、增加社会对体育的投入，提升整体运动员的素质和竞争力。此外，针对特定文化背景下的运动项目，可以制定有针对性的培养计划，强化文化优势，进一步提升在这些项目上的奖牌数。</w:t>
      </w:r>
    </w:p>
    <w:p w14:paraId="54153817">
      <w:pPr>
        <w:pStyle w:val="12"/>
        <w:rPr>
          <w:rFonts w:hint="eastAsia"/>
        </w:rPr>
      </w:pPr>
      <w:r>
        <w:rPr>
          <w:rFonts w:hint="eastAsia"/>
        </w:rPr>
        <w:t>5.3.</w:t>
      </w:r>
      <w:r>
        <w:t xml:space="preserve">6 </w:t>
      </w:r>
      <w:r>
        <w:rPr>
          <w:rFonts w:hint="eastAsia" w:ascii="宋体" w:hAnsi="宋体" w:eastAsia="宋体" w:cs="宋体"/>
        </w:rPr>
        <w:t>长期趋势与可持续发展</w:t>
      </w:r>
    </w:p>
    <w:p w14:paraId="4D15A8D7">
      <w:pPr>
        <w:ind w:firstLine="480"/>
        <w:rPr>
          <w:rFonts w:hint="eastAsia"/>
        </w:rPr>
      </w:pPr>
      <w:r>
        <w:rPr>
          <w:rFonts w:hint="eastAsia"/>
        </w:rPr>
        <w:t>模型分析还揭示了奖牌数随时间变化的长期趋势，反映了体育发展的可持续性。通过引入时间变量和趋势项，模型能够捕捉到各国在长期体育发展中的进步或退步，提供了对未来奖牌数变化的预测能力。</w:t>
      </w:r>
    </w:p>
    <w:p w14:paraId="52FB1BD1">
      <w:pPr>
        <w:ind w:firstLine="480"/>
        <w:rPr>
          <w:rFonts w:hint="eastAsia"/>
        </w:rPr>
      </w:pPr>
      <w:r>
        <w:rPr>
          <w:rFonts w:hint="eastAsia"/>
        </w:rPr>
        <w:t>数学表达式如下：</w:t>
      </w:r>
    </w:p>
    <w:p w14:paraId="0667075B">
      <w:pPr>
        <w:ind w:firstLine="480"/>
        <w:rPr>
          <w:rFonts w:hint="eastAsia"/>
        </w:rPr>
      </w:pPr>
      <m:oMathPara>
        <m:oMath>
          <m:r>
            <m:rPr>
              <m:sty m:val="p"/>
            </m:rPr>
            <w:rPr>
              <w:rFonts w:ascii="Cambria Math" w:hAnsi="Cambria Math"/>
            </w:rPr>
            <m:t>log⁡(</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r>
            <m:rPr/>
            <w:rPr>
              <w:rFonts w:ascii="Cambria Math" w:hAnsi="Cambria Math"/>
            </w:rPr>
            <m:t>α</m:t>
          </m:r>
          <m:r>
            <m:rPr>
              <m:sty m:val="p"/>
            </m:rPr>
            <w:rPr>
              <w:rFonts w:ascii="Cambria Math" w:hAnsi="Cambria Math"/>
            </w:rPr>
            <m:t>+</m:t>
          </m:r>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8</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nor/>
                  <m:sty m:val="p"/>
                </m:rPr>
                <m:t>TimeTrend</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ϵ</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s</m:t>
              </m:r>
              <m:ctrlPr>
                <w:rPr>
                  <w:rFonts w:ascii="Cambria Math" w:hAnsi="Cambria Math"/>
                </w:rPr>
              </m:ctrlPr>
            </m:sub>
          </m:sSub>
          <m:r>
            <m:rPr>
              <m:sty m:val="p"/>
            </m:rPr>
            <w:rPr>
              <w:rFonts w:ascii="Cambria Math" w:hAnsi="Cambria Math"/>
            </w:rPr>
            <m:t>+…</m:t>
          </m:r>
        </m:oMath>
      </m:oMathPara>
    </w:p>
    <w:p w14:paraId="3991ED26">
      <w:pPr>
        <w:ind w:firstLine="480"/>
        <w:rPr>
          <w:rFonts w:hint="eastAsia"/>
        </w:rPr>
      </w:pPr>
      <w:r>
        <w:rPr>
          <w:rFonts w:hint="eastAsia"/>
        </w:rPr>
        <w:t>其中，</w:t>
      </w:r>
      <m:oMath>
        <m:sSub>
          <m:sSubPr>
            <m:ctrlPr>
              <w:rPr>
                <w:rFonts w:ascii="Cambria Math" w:hAnsi="Cambria Math"/>
              </w:rPr>
            </m:ctrlPr>
          </m:sSubPr>
          <m:e>
            <m:r>
              <m:rPr>
                <m:nor/>
                <m:sty m:val="p"/>
              </m:rPr>
              <m:t>TimeTrend</m:t>
            </m:r>
            <m:ctrlPr>
              <w:rPr>
                <w:rFonts w:ascii="Cambria Math" w:hAnsi="Cambria Math"/>
              </w:rPr>
            </m:ctrlPr>
          </m:e>
          <m:sub>
            <m:r>
              <m:rPr/>
              <w:rPr>
                <w:rFonts w:ascii="Cambria Math" w:hAnsi="Cambria Math"/>
              </w:rPr>
              <m:t>c</m:t>
            </m:r>
            <m:r>
              <m:rPr>
                <m:sty m:val="p"/>
              </m:rPr>
              <w:rPr>
                <w:rFonts w:ascii="Cambria Math" w:hAnsi="Cambria Math"/>
              </w:rPr>
              <m:t>,</m:t>
            </m:r>
            <m:r>
              <m:rPr/>
              <w:rPr>
                <w:rFonts w:ascii="Cambria Math" w:hAnsi="Cambria Math"/>
              </w:rPr>
              <m:t>t</m:t>
            </m:r>
            <m:ctrlPr>
              <w:rPr>
                <w:rFonts w:ascii="Cambria Math" w:hAnsi="Cambria Math"/>
              </w:rPr>
            </m:ctrlPr>
          </m:sub>
        </m:sSub>
      </m:oMath>
      <w:r>
        <w:rPr>
          <w:rFonts w:ascii="Georgia" w:hAnsi="Georgia" w:eastAsia="Georgia" w:cs="Georgia"/>
        </w:rPr>
        <w:t xml:space="preserve"> </w:t>
      </w:r>
      <w:r>
        <w:rPr>
          <w:rFonts w:hint="eastAsia"/>
        </w:rPr>
        <w:t>表示国家</w:t>
      </w:r>
      <m:oMath>
        <m:r>
          <m:rPr/>
          <w:rPr>
            <w:rFonts w:ascii="Cambria Math" w:hAnsi="Cambria Math"/>
          </w:rPr>
          <m:t>c</m:t>
        </m:r>
      </m:oMath>
      <w:r>
        <w:rPr>
          <w:rFonts w:hint="eastAsia"/>
        </w:rPr>
        <w:t>在第</w:t>
      </w:r>
      <m:oMath>
        <m:r>
          <m:rPr/>
          <w:rPr>
            <w:rFonts w:ascii="Cambria Math" w:hAnsi="Cambria Math"/>
          </w:rPr>
          <m:t>t</m:t>
        </m:r>
      </m:oMath>
      <w:r>
        <w:rPr>
          <w:rFonts w:hint="eastAsia"/>
        </w:rPr>
        <w:t>届奥运会中的时间趋势变量，如过去若干届的平均奖牌增长率。</w:t>
      </w:r>
    </w:p>
    <w:p w14:paraId="232DF4D1">
      <w:pPr>
        <w:ind w:firstLine="480"/>
        <w:rPr>
          <w:rFonts w:hint="eastAsia"/>
        </w:rPr>
      </w:pPr>
      <w:r>
        <w:rPr>
          <w:rFonts w:hint="eastAsia"/>
        </w:rPr>
        <w:t>时间趋势变量反映了各国在长期体育发展中的动态变化。正的时间趋势表明奖牌数在逐渐增加，反之则表明奖牌数在减少。这种趋势可以帮助预测未来奖牌数的变化方向，揭示各国在体育发展上的持续性和稳定性。</w:t>
      </w:r>
    </w:p>
    <w:p w14:paraId="3515BF35">
      <w:pPr>
        <w:ind w:firstLine="480"/>
        <w:rPr>
          <w:rFonts w:hint="eastAsia"/>
        </w:rPr>
      </w:pPr>
      <w:r>
        <w:rPr>
          <w:rFonts w:hint="eastAsia"/>
        </w:rPr>
        <w:t>各国奥委会应关注自身在长期体育发展的表现，通过持续投资和优化体育政策，确保奖牌数的稳步增长。同时，定期评估体育发展的时间趋势，可以帮助奥委会及时调整战略，保持在国际赛事中的竞争力。</w:t>
      </w:r>
    </w:p>
    <w:p w14:paraId="15F73CC0">
      <w:pPr>
        <w:widowControl/>
        <w:tabs>
          <w:tab w:val="left" w:pos="5040"/>
        </w:tabs>
        <w:ind w:firstLine="482"/>
        <w:jc w:val="left"/>
        <w:rPr>
          <w:b/>
          <w:kern w:val="0"/>
        </w:rPr>
      </w:pPr>
    </w:p>
    <w:p w14:paraId="48E2503D">
      <w:pPr>
        <w:widowControl/>
        <w:tabs>
          <w:tab w:val="left" w:pos="5040"/>
        </w:tabs>
        <w:ind w:firstLine="482"/>
        <w:jc w:val="left"/>
        <w:rPr>
          <w:b/>
          <w:kern w:val="0"/>
        </w:rPr>
      </w:pPr>
    </w:p>
    <w:p w14:paraId="0FC8838B">
      <w:pPr>
        <w:pStyle w:val="2"/>
        <w:spacing w:before="312" w:beforeLines="100" w:after="312" w:afterLines="100" w:line="360" w:lineRule="auto"/>
        <w:ind w:firstLine="643"/>
      </w:pPr>
      <w:bookmarkStart w:id="26" w:name="_Toc471658520"/>
      <w:bookmarkStart w:id="27" w:name="_Toc379853052"/>
      <w:bookmarkStart w:id="28" w:name="_Toc374260230"/>
      <w:bookmarkStart w:id="29" w:name="_Toc379849382"/>
      <w:bookmarkStart w:id="30" w:name="_Toc374271572"/>
      <w:bookmarkStart w:id="31" w:name="_Toc379849301"/>
      <w:bookmarkStart w:id="32" w:name="_Toc374271538"/>
      <w:bookmarkStart w:id="33" w:name="_Toc379849436"/>
      <w:bookmarkStart w:id="34" w:name="_Toc379849520"/>
      <w:bookmarkStart w:id="35" w:name="_Toc379854656"/>
      <w:bookmarkStart w:id="36" w:name="_Toc374269297"/>
      <w:bookmarkStart w:id="37" w:name="_Toc379852994"/>
      <w:r>
        <w:t>VII. Evaluation and Promotion of Model</w:t>
      </w:r>
      <w:bookmarkEnd w:id="26"/>
      <w:bookmarkEnd w:id="27"/>
      <w:bookmarkEnd w:id="28"/>
      <w:bookmarkEnd w:id="29"/>
      <w:bookmarkEnd w:id="30"/>
      <w:bookmarkEnd w:id="31"/>
      <w:bookmarkEnd w:id="32"/>
      <w:bookmarkEnd w:id="33"/>
      <w:bookmarkEnd w:id="34"/>
      <w:bookmarkEnd w:id="35"/>
      <w:bookmarkEnd w:id="36"/>
      <w:bookmarkEnd w:id="37"/>
    </w:p>
    <w:p w14:paraId="1A6B1310">
      <w:pPr>
        <w:pStyle w:val="31"/>
        <w:keepNext/>
        <w:keepLines/>
        <w:numPr>
          <w:ilvl w:val="0"/>
          <w:numId w:val="1"/>
        </w:numPr>
        <w:spacing w:before="380" w:after="380" w:line="416" w:lineRule="auto"/>
        <w:ind w:firstLineChars="0"/>
        <w:jc w:val="left"/>
        <w:outlineLvl w:val="1"/>
        <w:rPr>
          <w:rFonts w:eastAsia="Times New Roman"/>
          <w:b/>
          <w:bCs/>
          <w:vanish/>
          <w:sz w:val="28"/>
          <w:szCs w:val="32"/>
        </w:rPr>
      </w:pPr>
      <w:bookmarkStart w:id="38" w:name="_Toc471658521"/>
    </w:p>
    <w:p w14:paraId="18C6FCB2">
      <w:pPr>
        <w:pStyle w:val="3"/>
        <w:spacing w:before="312" w:beforeLines="100" w:after="312" w:afterLines="100" w:line="360" w:lineRule="auto"/>
        <w:ind w:firstLine="562"/>
        <w:rPr>
          <w:rFonts w:ascii="Times New Roman" w:hAnsi="Times New Roman" w:eastAsia="宋体"/>
        </w:rPr>
      </w:pPr>
      <w:r>
        <w:rPr>
          <w:rFonts w:ascii="Times New Roman" w:hAnsi="Times New Roman" w:eastAsia="宋体"/>
        </w:rPr>
        <w:t xml:space="preserve"> Strength and Weakness</w:t>
      </w:r>
      <w:bookmarkEnd w:id="38"/>
    </w:p>
    <w:p w14:paraId="24D8EEC4">
      <w:pPr>
        <w:pStyle w:val="3"/>
        <w:numPr>
          <w:ilvl w:val="2"/>
          <w:numId w:val="1"/>
        </w:numPr>
        <w:spacing w:before="312" w:beforeLines="100" w:after="312" w:afterLines="100" w:line="360" w:lineRule="auto"/>
        <w:ind w:firstLine="562"/>
        <w:rPr>
          <w:rFonts w:ascii="Times New Roman" w:hAnsi="Times New Roman" w:eastAsia="宋体"/>
        </w:rPr>
      </w:pPr>
      <w:bookmarkStart w:id="39" w:name="_Toc471658522"/>
      <w:r>
        <w:rPr>
          <w:rFonts w:ascii="Times New Roman" w:hAnsi="Times New Roman" w:eastAsia="宋体"/>
        </w:rPr>
        <w:t>Strength</w:t>
      </w:r>
      <w:bookmarkEnd w:id="39"/>
    </w:p>
    <w:p w14:paraId="713DC5CE">
      <w:pPr>
        <w:pStyle w:val="31"/>
        <w:widowControl/>
        <w:spacing w:before="100" w:beforeAutospacing="1" w:after="100" w:afterAutospacing="1"/>
        <w:ind w:left="420" w:firstLine="0" w:firstLineChars="0"/>
        <w:jc w:val="left"/>
        <w:rPr>
          <w:rFonts w:ascii="宋体" w:hAnsi="宋体" w:cs="宋体"/>
          <w:kern w:val="0"/>
          <w:szCs w:val="24"/>
        </w:rPr>
      </w:pPr>
      <w:r>
        <w:rPr>
          <w:rFonts w:ascii="宋体" w:hAnsi="Symbol" w:cs="宋体"/>
          <w:kern w:val="0"/>
          <w:szCs w:val="24"/>
        </w:rPr>
        <w:t></w:t>
      </w:r>
      <w:r>
        <w:rPr>
          <w:rFonts w:ascii="宋体" w:hAnsi="宋体" w:cs="宋体"/>
          <w:kern w:val="0"/>
          <w:szCs w:val="24"/>
        </w:rPr>
        <w:t xml:space="preserve">  </w:t>
      </w:r>
      <w:r>
        <w:rPr>
          <w:rFonts w:ascii="宋体" w:hAnsi="宋体" w:cs="宋体"/>
          <w:b/>
          <w:bCs/>
          <w:kern w:val="0"/>
          <w:szCs w:val="24"/>
        </w:rPr>
        <w:t>有效处理过度分散数据</w:t>
      </w:r>
      <w:r>
        <w:rPr>
          <w:rFonts w:ascii="宋体" w:hAnsi="宋体" w:cs="宋体"/>
          <w:kern w:val="0"/>
          <w:szCs w:val="24"/>
        </w:rPr>
        <w:br w:type="textWrapping"/>
      </w:r>
      <w:r>
        <w:rPr>
          <w:rFonts w:ascii="宋体" w:hAnsi="宋体" w:cs="宋体"/>
          <w:kern w:val="0"/>
          <w:szCs w:val="24"/>
        </w:rPr>
        <w:t>负二项回归模型能够处理计数数据中的过度分散现象（即方差大于均值），相比于泊松回归模型更适合实际奖牌数的数据分布，提升了模型的拟合准确性。</w:t>
      </w:r>
    </w:p>
    <w:p w14:paraId="69DA6B2A">
      <w:pPr>
        <w:pStyle w:val="31"/>
        <w:widowControl/>
        <w:spacing w:before="100" w:beforeAutospacing="1" w:after="100" w:afterAutospacing="1"/>
        <w:ind w:left="420" w:firstLine="0" w:firstLineChars="0"/>
        <w:jc w:val="left"/>
        <w:rPr>
          <w:rFonts w:ascii="宋体" w:hAnsi="宋体" w:cs="宋体"/>
          <w:kern w:val="0"/>
          <w:szCs w:val="24"/>
        </w:rPr>
      </w:pPr>
      <w:r>
        <w:rPr>
          <w:rFonts w:ascii="宋体" w:hAnsi="Symbol" w:cs="宋体"/>
          <w:kern w:val="0"/>
          <w:szCs w:val="24"/>
        </w:rPr>
        <w:t></w:t>
      </w:r>
      <w:r>
        <w:rPr>
          <w:rFonts w:ascii="宋体" w:hAnsi="宋体" w:cs="宋体"/>
          <w:kern w:val="0"/>
          <w:szCs w:val="24"/>
        </w:rPr>
        <w:t xml:space="preserve">  </w:t>
      </w:r>
      <w:r>
        <w:rPr>
          <w:rFonts w:ascii="宋体" w:hAnsi="宋体" w:cs="宋体"/>
          <w:b/>
          <w:bCs/>
          <w:kern w:val="0"/>
          <w:szCs w:val="24"/>
        </w:rPr>
        <w:t>捕捉层次结构异质性</w:t>
      </w:r>
      <w:r>
        <w:rPr>
          <w:rFonts w:ascii="宋体" w:hAnsi="宋体" w:cs="宋体"/>
          <w:kern w:val="0"/>
          <w:szCs w:val="24"/>
        </w:rPr>
        <w:br w:type="textWrapping"/>
      </w:r>
      <w:r>
        <w:rPr>
          <w:rFonts w:ascii="宋体" w:hAnsi="宋体" w:cs="宋体"/>
          <w:kern w:val="0"/>
          <w:szCs w:val="24"/>
        </w:rPr>
        <w:t>通过引入国家和届次的随机效应，模型能够捕捉到不同国家间及不同届次之间的异质性，增强了模型的泛化能力和预测精度。</w:t>
      </w:r>
    </w:p>
    <w:p w14:paraId="7B4E29DB">
      <w:pPr>
        <w:pStyle w:val="31"/>
        <w:widowControl/>
        <w:spacing w:before="100" w:beforeAutospacing="1" w:after="100" w:afterAutospacing="1"/>
        <w:ind w:left="420" w:firstLine="0" w:firstLineChars="0"/>
        <w:jc w:val="left"/>
        <w:rPr>
          <w:rFonts w:ascii="宋体" w:hAnsi="宋体" w:cs="宋体"/>
          <w:kern w:val="0"/>
          <w:szCs w:val="24"/>
        </w:rPr>
      </w:pPr>
      <w:r>
        <w:rPr>
          <w:rFonts w:ascii="宋体" w:hAnsi="Symbol" w:cs="宋体"/>
          <w:kern w:val="0"/>
          <w:szCs w:val="24"/>
        </w:rPr>
        <w:t></w:t>
      </w:r>
      <w:r>
        <w:rPr>
          <w:rFonts w:ascii="宋体" w:hAnsi="宋体" w:cs="宋体"/>
          <w:kern w:val="0"/>
          <w:szCs w:val="24"/>
        </w:rPr>
        <w:t xml:space="preserve">  </w:t>
      </w:r>
      <w:r>
        <w:rPr>
          <w:rFonts w:ascii="宋体" w:hAnsi="宋体" w:cs="宋体"/>
          <w:b/>
          <w:bCs/>
          <w:kern w:val="0"/>
          <w:szCs w:val="24"/>
        </w:rPr>
        <w:t>量化参数不确定性</w:t>
      </w:r>
      <w:r>
        <w:rPr>
          <w:rFonts w:ascii="宋体" w:hAnsi="宋体" w:cs="宋体"/>
          <w:kern w:val="0"/>
          <w:szCs w:val="24"/>
        </w:rPr>
        <w:br w:type="textWrapping"/>
      </w:r>
      <w:r>
        <w:rPr>
          <w:rFonts w:ascii="宋体" w:hAnsi="宋体" w:cs="宋体"/>
          <w:kern w:val="0"/>
          <w:szCs w:val="24"/>
        </w:rPr>
        <w:t>采用贝叶斯方法进行参数估计，不仅提供了参数的点估计值，还能够量化参数的不确定性，增强了结果的可信度和解释性。</w:t>
      </w:r>
    </w:p>
    <w:p w14:paraId="00A8C394">
      <w:pPr>
        <w:pStyle w:val="31"/>
        <w:widowControl/>
        <w:spacing w:before="100" w:beforeAutospacing="1" w:after="100" w:afterAutospacing="1"/>
        <w:ind w:left="420" w:firstLine="0" w:firstLineChars="0"/>
        <w:jc w:val="left"/>
        <w:rPr>
          <w:rFonts w:ascii="宋体" w:hAnsi="宋体" w:cs="宋体"/>
          <w:kern w:val="0"/>
          <w:szCs w:val="24"/>
        </w:rPr>
      </w:pPr>
      <w:r>
        <w:rPr>
          <w:rFonts w:ascii="宋体" w:hAnsi="Symbol" w:cs="宋体"/>
          <w:kern w:val="0"/>
          <w:szCs w:val="24"/>
        </w:rPr>
        <w:t></w:t>
      </w:r>
      <w:r>
        <w:rPr>
          <w:rFonts w:ascii="宋体" w:hAnsi="宋体" w:cs="宋体"/>
          <w:kern w:val="0"/>
          <w:szCs w:val="24"/>
        </w:rPr>
        <w:t xml:space="preserve">  </w:t>
      </w:r>
      <w:r>
        <w:rPr>
          <w:rFonts w:ascii="宋体" w:hAnsi="宋体" w:cs="宋体"/>
          <w:b/>
          <w:bCs/>
          <w:kern w:val="0"/>
          <w:szCs w:val="24"/>
        </w:rPr>
        <w:t>综合多重影响因素</w:t>
      </w:r>
      <w:r>
        <w:rPr>
          <w:rFonts w:ascii="宋体" w:hAnsi="宋体" w:cs="宋体"/>
          <w:kern w:val="0"/>
          <w:szCs w:val="24"/>
        </w:rPr>
        <w:br w:type="textWrapping"/>
      </w:r>
      <w:r>
        <w:rPr>
          <w:rFonts w:ascii="宋体" w:hAnsi="宋体" w:cs="宋体"/>
          <w:kern w:val="0"/>
          <w:szCs w:val="24"/>
        </w:rPr>
        <w:t>模型综合考虑了历史奖牌数据、经济与人口指标、赛事项目的数量和类型等多重因素，提供了一个全面的预测框架，能够更准确地反映各国奖牌数的影响因素。</w:t>
      </w:r>
    </w:p>
    <w:p w14:paraId="6563B28B">
      <w:pPr>
        <w:pStyle w:val="31"/>
        <w:widowControl/>
        <w:spacing w:before="100" w:beforeAutospacing="1" w:after="100" w:afterAutospacing="1"/>
        <w:ind w:left="420" w:firstLine="0" w:firstLineChars="0"/>
        <w:jc w:val="left"/>
        <w:rPr>
          <w:rFonts w:ascii="宋体" w:hAnsi="宋体" w:cs="宋体"/>
          <w:kern w:val="0"/>
          <w:szCs w:val="24"/>
        </w:rPr>
      </w:pPr>
      <w:r>
        <w:rPr>
          <w:rFonts w:ascii="宋体" w:hAnsi="Symbol" w:cs="宋体"/>
          <w:kern w:val="0"/>
          <w:szCs w:val="24"/>
        </w:rPr>
        <w:t></w:t>
      </w:r>
      <w:r>
        <w:rPr>
          <w:rFonts w:ascii="宋体" w:hAnsi="宋体" w:cs="宋体"/>
          <w:kern w:val="0"/>
          <w:szCs w:val="24"/>
        </w:rPr>
        <w:t xml:space="preserve">  </w:t>
      </w:r>
      <w:r>
        <w:rPr>
          <w:rFonts w:ascii="宋体" w:hAnsi="宋体" w:cs="宋体"/>
          <w:b/>
          <w:bCs/>
          <w:kern w:val="0"/>
          <w:szCs w:val="24"/>
        </w:rPr>
        <w:t>灵活性强</w:t>
      </w:r>
      <w:r>
        <w:rPr>
          <w:rFonts w:ascii="宋体" w:hAnsi="宋体" w:cs="宋体"/>
          <w:kern w:val="0"/>
          <w:szCs w:val="24"/>
        </w:rPr>
        <w:br w:type="textWrapping"/>
      </w:r>
      <w:r>
        <w:rPr>
          <w:rFonts w:ascii="宋体" w:hAnsi="宋体" w:cs="宋体"/>
          <w:kern w:val="0"/>
          <w:szCs w:val="24"/>
        </w:rPr>
        <w:t>模型结构灵活，能够根据需要扩展或调整自变量和随机效应，适应不同研究需求和数据特征，具有较高的应用适用性。</w:t>
      </w:r>
    </w:p>
    <w:p w14:paraId="37699D2B">
      <w:pPr>
        <w:pStyle w:val="3"/>
        <w:numPr>
          <w:ilvl w:val="2"/>
          <w:numId w:val="1"/>
        </w:numPr>
        <w:spacing w:before="312" w:beforeLines="100" w:after="312" w:afterLines="100" w:line="360" w:lineRule="auto"/>
        <w:ind w:firstLine="562"/>
        <w:rPr>
          <w:rFonts w:ascii="Times New Roman" w:hAnsi="Times New Roman" w:eastAsia="宋体"/>
        </w:rPr>
      </w:pPr>
      <w:bookmarkStart w:id="40" w:name="_Toc471658523"/>
      <w:r>
        <w:rPr>
          <w:rFonts w:ascii="Times New Roman" w:hAnsi="Times New Roman" w:eastAsia="宋体"/>
        </w:rPr>
        <w:t>Weakness:</w:t>
      </w:r>
      <w:bookmarkEnd w:id="40"/>
      <w:r>
        <w:rPr>
          <w:rFonts w:ascii="Times New Roman" w:hAnsi="Times New Roman" w:eastAsia="宋体"/>
        </w:rPr>
        <w:t xml:space="preserve"> </w:t>
      </w:r>
    </w:p>
    <w:p w14:paraId="2DBA0F52">
      <w:pPr>
        <w:pStyle w:val="31"/>
        <w:widowControl/>
        <w:spacing w:before="100" w:beforeAutospacing="1" w:after="100" w:afterAutospacing="1"/>
        <w:ind w:left="420" w:firstLine="0" w:firstLineChars="0"/>
        <w:jc w:val="left"/>
        <w:rPr>
          <w:rFonts w:ascii="宋体" w:hAnsi="宋体" w:cs="宋体"/>
          <w:kern w:val="0"/>
          <w:szCs w:val="24"/>
        </w:rPr>
      </w:pPr>
      <w:r>
        <w:rPr>
          <w:rFonts w:ascii="宋体" w:hAnsi="Symbol" w:cs="宋体"/>
          <w:kern w:val="0"/>
          <w:szCs w:val="24"/>
        </w:rPr>
        <w:t></w:t>
      </w:r>
      <w:r>
        <w:rPr>
          <w:rFonts w:ascii="宋体" w:hAnsi="宋体" w:cs="宋体"/>
          <w:kern w:val="0"/>
          <w:szCs w:val="24"/>
        </w:rPr>
        <w:t xml:space="preserve">  </w:t>
      </w:r>
      <w:r>
        <w:rPr>
          <w:rFonts w:ascii="宋体" w:hAnsi="宋体" w:cs="宋体"/>
          <w:b/>
          <w:bCs/>
          <w:kern w:val="0"/>
          <w:szCs w:val="24"/>
        </w:rPr>
        <w:t>计算复杂度高</w:t>
      </w:r>
      <w:r>
        <w:rPr>
          <w:rFonts w:ascii="宋体" w:hAnsi="宋体" w:cs="宋体"/>
          <w:kern w:val="0"/>
          <w:szCs w:val="24"/>
        </w:rPr>
        <w:br w:type="textWrapping"/>
      </w:r>
      <w:r>
        <w:rPr>
          <w:rFonts w:ascii="宋体" w:hAnsi="宋体" w:cs="宋体"/>
          <w:kern w:val="0"/>
          <w:szCs w:val="24"/>
        </w:rPr>
        <w:t>多层次负二项回归模型尤其在引入大量随机效应和自变量时，计算资源需求显著增加，导致模型训练时间较长，特别是在处理大规模数据集时。</w:t>
      </w:r>
    </w:p>
    <w:p w14:paraId="55EA7F53">
      <w:pPr>
        <w:pStyle w:val="31"/>
        <w:widowControl/>
        <w:spacing w:before="100" w:beforeAutospacing="1" w:after="100" w:afterAutospacing="1"/>
        <w:ind w:left="420" w:firstLine="0" w:firstLineChars="0"/>
        <w:jc w:val="left"/>
        <w:rPr>
          <w:rFonts w:ascii="宋体" w:hAnsi="宋体" w:cs="宋体"/>
          <w:kern w:val="0"/>
          <w:szCs w:val="24"/>
        </w:rPr>
      </w:pPr>
      <w:r>
        <w:rPr>
          <w:rFonts w:ascii="宋体" w:hAnsi="Symbol" w:cs="宋体"/>
          <w:kern w:val="0"/>
          <w:szCs w:val="24"/>
        </w:rPr>
        <w:t></w:t>
      </w:r>
      <w:r>
        <w:rPr>
          <w:rFonts w:ascii="宋体" w:hAnsi="宋体" w:cs="宋体"/>
          <w:kern w:val="0"/>
          <w:szCs w:val="24"/>
        </w:rPr>
        <w:t xml:space="preserve">  </w:t>
      </w:r>
      <w:r>
        <w:rPr>
          <w:rFonts w:ascii="宋体" w:hAnsi="宋体" w:cs="宋体"/>
          <w:b/>
          <w:bCs/>
          <w:kern w:val="0"/>
          <w:szCs w:val="24"/>
        </w:rPr>
        <w:t>参数估计稳定性问题</w:t>
      </w:r>
      <w:r>
        <w:rPr>
          <w:rFonts w:ascii="宋体" w:hAnsi="宋体" w:cs="宋体"/>
          <w:kern w:val="0"/>
          <w:szCs w:val="24"/>
        </w:rPr>
        <w:br w:type="textWrapping"/>
      </w:r>
      <w:r>
        <w:rPr>
          <w:rFonts w:ascii="宋体" w:hAnsi="宋体" w:cs="宋体"/>
          <w:kern w:val="0"/>
          <w:szCs w:val="24"/>
        </w:rPr>
        <w:t>贝叶斯方法依赖于马尔可夫链蒙特卡洛（MCMC）采样，可能面临收敛性问题。在参数空间较大或初始值选择不当的情况下，容易导致估计结果的不稳定性。</w:t>
      </w:r>
    </w:p>
    <w:p w14:paraId="20237862">
      <w:pPr>
        <w:pStyle w:val="31"/>
        <w:widowControl/>
        <w:spacing w:before="100" w:beforeAutospacing="1" w:after="100" w:afterAutospacing="1"/>
        <w:ind w:left="420" w:firstLine="0" w:firstLineChars="0"/>
        <w:jc w:val="left"/>
        <w:rPr>
          <w:rFonts w:ascii="宋体" w:hAnsi="宋体" w:cs="宋体"/>
          <w:kern w:val="0"/>
          <w:szCs w:val="24"/>
        </w:rPr>
      </w:pPr>
      <w:r>
        <w:rPr>
          <w:rFonts w:ascii="宋体" w:hAnsi="Symbol" w:cs="宋体"/>
          <w:kern w:val="0"/>
          <w:szCs w:val="24"/>
        </w:rPr>
        <w:t></w:t>
      </w:r>
      <w:r>
        <w:rPr>
          <w:rFonts w:ascii="宋体" w:hAnsi="宋体" w:cs="宋体"/>
          <w:kern w:val="0"/>
          <w:szCs w:val="24"/>
        </w:rPr>
        <w:t xml:space="preserve">  </w:t>
      </w:r>
      <w:r>
        <w:rPr>
          <w:rFonts w:ascii="宋体" w:hAnsi="宋体" w:cs="宋体"/>
          <w:b/>
          <w:bCs/>
          <w:kern w:val="0"/>
          <w:szCs w:val="24"/>
        </w:rPr>
        <w:t>对数据质量要求高</w:t>
      </w:r>
      <w:r>
        <w:rPr>
          <w:rFonts w:ascii="宋体" w:hAnsi="宋体" w:cs="宋体"/>
          <w:kern w:val="0"/>
          <w:szCs w:val="24"/>
        </w:rPr>
        <w:br w:type="textWrapping"/>
      </w:r>
      <w:r>
        <w:rPr>
          <w:rFonts w:ascii="宋体" w:hAnsi="宋体" w:cs="宋体"/>
          <w:kern w:val="0"/>
          <w:szCs w:val="24"/>
        </w:rPr>
        <w:t>模型对输入数据的完整性和准确性要求较高，任何数据的缺失或错误都可能对预测结果产生较大影响，需要在数据预处理阶段进行严格的质量控制。</w:t>
      </w:r>
    </w:p>
    <w:p w14:paraId="0BCE0A4B">
      <w:pPr>
        <w:pStyle w:val="31"/>
        <w:widowControl/>
        <w:spacing w:before="100" w:beforeAutospacing="1" w:after="100" w:afterAutospacing="1"/>
        <w:ind w:left="420" w:firstLine="0" w:firstLineChars="0"/>
        <w:jc w:val="left"/>
        <w:rPr>
          <w:rFonts w:ascii="宋体" w:hAnsi="宋体" w:cs="宋体"/>
          <w:kern w:val="0"/>
          <w:szCs w:val="24"/>
        </w:rPr>
      </w:pPr>
      <w:r>
        <w:rPr>
          <w:rFonts w:ascii="宋体" w:hAnsi="Symbol" w:cs="宋体"/>
          <w:kern w:val="0"/>
          <w:szCs w:val="24"/>
        </w:rPr>
        <w:t></w:t>
      </w:r>
      <w:r>
        <w:rPr>
          <w:rFonts w:ascii="宋体" w:hAnsi="宋体" w:cs="宋体"/>
          <w:kern w:val="0"/>
          <w:szCs w:val="24"/>
        </w:rPr>
        <w:t xml:space="preserve">  </w:t>
      </w:r>
      <w:r>
        <w:rPr>
          <w:rFonts w:ascii="宋体" w:hAnsi="宋体" w:cs="宋体"/>
          <w:b/>
          <w:bCs/>
          <w:kern w:val="0"/>
          <w:szCs w:val="24"/>
        </w:rPr>
        <w:t>潜在遗漏变量</w:t>
      </w:r>
      <w:r>
        <w:rPr>
          <w:rFonts w:ascii="宋体" w:hAnsi="宋体" w:cs="宋体"/>
          <w:kern w:val="0"/>
          <w:szCs w:val="24"/>
        </w:rPr>
        <w:br w:type="textWrapping"/>
      </w:r>
      <w:r>
        <w:rPr>
          <w:rFonts w:ascii="宋体" w:hAnsi="宋体" w:cs="宋体"/>
          <w:kern w:val="0"/>
          <w:szCs w:val="24"/>
        </w:rPr>
        <w:t>尽管模型综合考虑了多种影响因素，但仍可能存在未被纳入模型的重要变量，导致模型的解释力和预测能力受到限制。</w:t>
      </w:r>
    </w:p>
    <w:p w14:paraId="7A6D85AE">
      <w:pPr>
        <w:pStyle w:val="31"/>
        <w:widowControl/>
        <w:spacing w:before="100" w:beforeAutospacing="1" w:after="100" w:afterAutospacing="1"/>
        <w:ind w:left="420" w:firstLine="0" w:firstLineChars="0"/>
        <w:jc w:val="left"/>
        <w:rPr>
          <w:rFonts w:ascii="宋体" w:hAnsi="宋体" w:cs="宋体"/>
          <w:kern w:val="0"/>
          <w:szCs w:val="24"/>
        </w:rPr>
      </w:pPr>
      <w:r>
        <w:rPr>
          <w:rFonts w:ascii="宋体" w:hAnsi="Symbol" w:cs="宋体"/>
          <w:kern w:val="0"/>
          <w:szCs w:val="24"/>
        </w:rPr>
        <w:t></w:t>
      </w:r>
      <w:r>
        <w:rPr>
          <w:rFonts w:ascii="宋体" w:hAnsi="宋体" w:cs="宋体"/>
          <w:kern w:val="0"/>
          <w:szCs w:val="24"/>
        </w:rPr>
        <w:t xml:space="preserve">  </w:t>
      </w:r>
      <w:r>
        <w:rPr>
          <w:rFonts w:ascii="宋体" w:hAnsi="宋体" w:cs="宋体"/>
          <w:b/>
          <w:bCs/>
          <w:kern w:val="0"/>
          <w:szCs w:val="24"/>
        </w:rPr>
        <w:t>高维参数空间挑战</w:t>
      </w:r>
      <w:r>
        <w:rPr>
          <w:rFonts w:ascii="宋体" w:hAnsi="宋体" w:cs="宋体"/>
          <w:kern w:val="0"/>
          <w:szCs w:val="24"/>
        </w:rPr>
        <w:br w:type="textWrapping"/>
      </w:r>
      <w:r>
        <w:rPr>
          <w:rFonts w:ascii="宋体" w:hAnsi="宋体" w:cs="宋体"/>
          <w:kern w:val="0"/>
          <w:szCs w:val="24"/>
        </w:rPr>
        <w:t>引入多层次随机效应和大量自变量使得参数空间维度较高，增加了模型训练的难度和计算负担，需要通过优化算法和高效计算技术来应对。</w:t>
      </w:r>
    </w:p>
    <w:p w14:paraId="18EF1E88">
      <w:pPr>
        <w:pStyle w:val="3"/>
        <w:spacing w:before="312" w:beforeLines="100" w:after="312" w:afterLines="100" w:line="360" w:lineRule="auto"/>
        <w:ind w:firstLine="562"/>
        <w:rPr>
          <w:rFonts w:ascii="Times New Roman" w:hAnsi="Times New Roman" w:eastAsia="宋体"/>
        </w:rPr>
      </w:pPr>
      <w:bookmarkStart w:id="41" w:name="_Toc471658524"/>
      <w:r>
        <w:rPr>
          <w:rFonts w:ascii="Times New Roman" w:hAnsi="Times New Roman" w:eastAsia="宋体"/>
        </w:rPr>
        <w:t>Promotion</w:t>
      </w:r>
      <w:bookmarkEnd w:id="41"/>
    </w:p>
    <w:p w14:paraId="287309DF">
      <w:pPr>
        <w:widowControl/>
        <w:tabs>
          <w:tab w:val="left" w:pos="5040"/>
        </w:tabs>
        <w:ind w:firstLine="480"/>
        <w:jc w:val="left"/>
        <w:rPr>
          <w:kern w:val="0"/>
        </w:rPr>
      </w:pPr>
    </w:p>
    <w:p w14:paraId="604E67E8">
      <w:pPr>
        <w:widowControl/>
        <w:tabs>
          <w:tab w:val="left" w:pos="5040"/>
        </w:tabs>
        <w:ind w:firstLine="480"/>
        <w:jc w:val="left"/>
        <w:rPr>
          <w:kern w:val="0"/>
        </w:rPr>
      </w:pPr>
    </w:p>
    <w:p w14:paraId="3AF51C74">
      <w:pPr>
        <w:pStyle w:val="2"/>
        <w:spacing w:before="312" w:beforeLines="100" w:after="312" w:afterLines="100" w:line="360" w:lineRule="auto"/>
        <w:ind w:firstLine="643"/>
      </w:pPr>
      <w:bookmarkStart w:id="42" w:name="_Toc471658525"/>
      <w:r>
        <w:t>Ⅷ. Conclusions</w:t>
      </w:r>
      <w:bookmarkEnd w:id="42"/>
    </w:p>
    <w:p w14:paraId="68515A91">
      <w:pPr>
        <w:pStyle w:val="31"/>
        <w:keepNext/>
        <w:keepLines/>
        <w:numPr>
          <w:ilvl w:val="0"/>
          <w:numId w:val="1"/>
        </w:numPr>
        <w:spacing w:before="380" w:after="380" w:line="416" w:lineRule="auto"/>
        <w:ind w:firstLineChars="0"/>
        <w:jc w:val="left"/>
        <w:outlineLvl w:val="1"/>
        <w:rPr>
          <w:rFonts w:eastAsia="Times New Roman"/>
          <w:b/>
          <w:bCs/>
          <w:vanish/>
          <w:sz w:val="28"/>
          <w:szCs w:val="32"/>
        </w:rPr>
      </w:pPr>
      <w:bookmarkStart w:id="43" w:name="_Toc471658526"/>
    </w:p>
    <w:p w14:paraId="140C5102">
      <w:pPr>
        <w:pStyle w:val="3"/>
        <w:spacing w:before="312" w:beforeLines="100" w:after="312" w:afterLines="100" w:line="360" w:lineRule="auto"/>
        <w:ind w:firstLine="562"/>
        <w:rPr>
          <w:rFonts w:ascii="Times New Roman" w:hAnsi="Times New Roman" w:eastAsia="宋体"/>
        </w:rPr>
      </w:pPr>
      <w:r>
        <w:rPr>
          <w:rFonts w:ascii="Times New Roman" w:hAnsi="Times New Roman" w:eastAsia="宋体"/>
        </w:rPr>
        <w:t xml:space="preserve"> Conclusions of the problem</w:t>
      </w:r>
      <w:bookmarkEnd w:id="43"/>
    </w:p>
    <w:p w14:paraId="378C7585">
      <w:pPr>
        <w:numPr>
          <w:ilvl w:val="0"/>
          <w:numId w:val="5"/>
        </w:numPr>
        <w:ind w:firstLine="480"/>
        <w:rPr>
          <w:kern w:val="0"/>
        </w:rPr>
      </w:pPr>
    </w:p>
    <w:p w14:paraId="22854736">
      <w:pPr>
        <w:numPr>
          <w:ilvl w:val="0"/>
          <w:numId w:val="5"/>
        </w:numPr>
        <w:ind w:firstLine="480"/>
        <w:rPr>
          <w:kern w:val="0"/>
        </w:rPr>
      </w:pPr>
    </w:p>
    <w:p w14:paraId="6E099890">
      <w:pPr>
        <w:numPr>
          <w:ilvl w:val="0"/>
          <w:numId w:val="5"/>
        </w:numPr>
        <w:ind w:firstLine="480"/>
        <w:rPr>
          <w:kern w:val="0"/>
        </w:rPr>
      </w:pPr>
    </w:p>
    <w:p w14:paraId="012EC421">
      <w:pPr>
        <w:pStyle w:val="3"/>
        <w:spacing w:before="312" w:beforeLines="100" w:after="312" w:afterLines="100" w:line="360" w:lineRule="auto"/>
        <w:ind w:firstLine="562"/>
        <w:rPr>
          <w:rFonts w:ascii="Times New Roman" w:hAnsi="Times New Roman" w:eastAsia="宋体"/>
        </w:rPr>
      </w:pPr>
      <w:bookmarkStart w:id="44" w:name="_Toc471658527"/>
      <w:r>
        <w:rPr>
          <w:rFonts w:ascii="Times New Roman" w:hAnsi="Times New Roman" w:eastAsia="宋体"/>
        </w:rPr>
        <w:t xml:space="preserve"> Methods used in our models</w:t>
      </w:r>
      <w:bookmarkEnd w:id="44"/>
    </w:p>
    <w:p w14:paraId="7A26C42E">
      <w:pPr>
        <w:numPr>
          <w:ilvl w:val="0"/>
          <w:numId w:val="5"/>
        </w:numPr>
        <w:ind w:firstLine="480"/>
        <w:rPr>
          <w:kern w:val="0"/>
        </w:rPr>
      </w:pPr>
    </w:p>
    <w:p w14:paraId="3C4120A2">
      <w:pPr>
        <w:numPr>
          <w:ilvl w:val="0"/>
          <w:numId w:val="5"/>
        </w:numPr>
        <w:ind w:firstLine="480"/>
        <w:rPr>
          <w:kern w:val="0"/>
        </w:rPr>
      </w:pPr>
    </w:p>
    <w:p w14:paraId="298DB8E6">
      <w:pPr>
        <w:pStyle w:val="2"/>
        <w:spacing w:before="312" w:beforeLines="100" w:after="312" w:afterLines="100" w:line="360" w:lineRule="auto"/>
        <w:ind w:firstLine="643"/>
      </w:pPr>
      <w:bookmarkStart w:id="45" w:name="_Toc471658528"/>
      <w:r>
        <w:t>I X. References</w:t>
      </w:r>
      <w:bookmarkEnd w:id="45"/>
    </w:p>
    <w:p w14:paraId="3CFB256C">
      <w:pPr>
        <w:numPr>
          <w:ilvl w:val="0"/>
          <w:numId w:val="6"/>
        </w:numPr>
        <w:autoSpaceDE w:val="0"/>
        <w:autoSpaceDN w:val="0"/>
        <w:adjustRightInd w:val="0"/>
        <w:spacing w:line="360" w:lineRule="auto"/>
        <w:ind w:firstLineChars="0"/>
        <w:jc w:val="left"/>
      </w:pPr>
      <w:r>
        <w:t>Xu Lun Hui,Luo Qiang,Fu Hui.Car following safe distance model based on braking process of</w:t>
      </w:r>
      <w:r>
        <w:rPr>
          <w:rFonts w:hint="eastAsia"/>
        </w:rPr>
        <w:t xml:space="preserve"> </w:t>
      </w:r>
      <w:r>
        <w:t>leading vehicle f [J].Journal of Guangxi Normal University(Natural Science</w:t>
      </w:r>
      <w:r>
        <w:rPr>
          <w:rFonts w:hint="eastAsia"/>
        </w:rPr>
        <w:t xml:space="preserve"> </w:t>
      </w:r>
      <w:r>
        <w:t>Edition),2010,28(1):1-5.</w:t>
      </w:r>
    </w:p>
    <w:p w14:paraId="09D78039">
      <w:pPr>
        <w:numPr>
          <w:ilvl w:val="0"/>
          <w:numId w:val="6"/>
        </w:numPr>
        <w:autoSpaceDE w:val="0"/>
        <w:autoSpaceDN w:val="0"/>
        <w:adjustRightInd w:val="0"/>
        <w:spacing w:before="156" w:beforeLines="50" w:after="156" w:afterLines="50" w:line="360" w:lineRule="auto"/>
        <w:ind w:firstLineChars="0"/>
        <w:jc w:val="left"/>
      </w:pPr>
    </w:p>
    <w:p w14:paraId="2B5EB1F9">
      <w:pPr>
        <w:numPr>
          <w:ilvl w:val="0"/>
          <w:numId w:val="6"/>
        </w:numPr>
        <w:autoSpaceDE w:val="0"/>
        <w:autoSpaceDN w:val="0"/>
        <w:adjustRightInd w:val="0"/>
        <w:ind w:firstLineChars="0"/>
        <w:jc w:val="left"/>
      </w:pPr>
    </w:p>
    <w:p w14:paraId="6ADE57D3">
      <w:pPr>
        <w:autoSpaceDE w:val="0"/>
        <w:autoSpaceDN w:val="0"/>
        <w:adjustRightInd w:val="0"/>
        <w:ind w:firstLine="480"/>
        <w:jc w:val="left"/>
      </w:pPr>
    </w:p>
    <w:p w14:paraId="6EDC2698">
      <w:pPr>
        <w:autoSpaceDE w:val="0"/>
        <w:autoSpaceDN w:val="0"/>
        <w:adjustRightInd w:val="0"/>
        <w:ind w:left="480" w:hanging="480" w:hangingChars="200"/>
        <w:jc w:val="left"/>
      </w:pPr>
    </w:p>
    <w:p w14:paraId="0EC1999F">
      <w:pPr>
        <w:autoSpaceDE w:val="0"/>
        <w:autoSpaceDN w:val="0"/>
        <w:adjustRightInd w:val="0"/>
        <w:ind w:left="480" w:hanging="480" w:hangingChars="200"/>
        <w:jc w:val="left"/>
        <w:rPr>
          <w:kern w:val="0"/>
        </w:rPr>
      </w:pPr>
    </w:p>
    <w:p w14:paraId="342F1ABD">
      <w:pPr>
        <w:pStyle w:val="2"/>
        <w:spacing w:before="312" w:beforeLines="100" w:after="312" w:afterLines="100" w:line="579" w:lineRule="auto"/>
        <w:ind w:firstLine="643"/>
      </w:pPr>
      <w:bookmarkStart w:id="46" w:name="_Toc471658529"/>
      <w:r>
        <w:t>X. Appendix</w:t>
      </w:r>
      <w:bookmarkEnd w:id="46"/>
    </w:p>
    <w:p w14:paraId="0E21A46C">
      <w:pPr>
        <w:pStyle w:val="31"/>
        <w:keepNext/>
        <w:keepLines/>
        <w:numPr>
          <w:ilvl w:val="0"/>
          <w:numId w:val="1"/>
        </w:numPr>
        <w:spacing w:before="380" w:after="380" w:line="416" w:lineRule="auto"/>
        <w:ind w:firstLineChars="0"/>
        <w:jc w:val="left"/>
        <w:outlineLvl w:val="1"/>
        <w:rPr>
          <w:rFonts w:eastAsia="Times New Roman"/>
          <w:b/>
          <w:bCs/>
          <w:vanish/>
          <w:sz w:val="28"/>
          <w:szCs w:val="32"/>
        </w:rPr>
      </w:pPr>
      <w:bookmarkStart w:id="47" w:name="_Toc471658530"/>
    </w:p>
    <w:p w14:paraId="3BAD7BF5">
      <w:pPr>
        <w:pStyle w:val="31"/>
        <w:keepNext/>
        <w:keepLines/>
        <w:numPr>
          <w:ilvl w:val="0"/>
          <w:numId w:val="1"/>
        </w:numPr>
        <w:spacing w:before="380" w:after="380" w:line="416" w:lineRule="auto"/>
        <w:ind w:firstLineChars="0"/>
        <w:jc w:val="left"/>
        <w:outlineLvl w:val="1"/>
        <w:rPr>
          <w:rFonts w:eastAsia="Times New Roman"/>
          <w:b/>
          <w:bCs/>
          <w:vanish/>
          <w:sz w:val="28"/>
          <w:szCs w:val="32"/>
        </w:rPr>
      </w:pPr>
    </w:p>
    <w:p w14:paraId="09792CBD">
      <w:pPr>
        <w:pStyle w:val="3"/>
        <w:spacing w:before="312" w:beforeLines="100" w:after="312" w:afterLines="100" w:line="360" w:lineRule="auto"/>
        <w:ind w:firstLine="562"/>
        <w:rPr>
          <w:rFonts w:ascii="Times New Roman" w:hAnsi="Times New Roman" w:eastAsia="宋体"/>
        </w:rPr>
      </w:pPr>
      <w:r>
        <w:rPr>
          <w:rFonts w:ascii="Times New Roman" w:hAnsi="Times New Roman" w:eastAsia="宋体"/>
        </w:rPr>
        <w:t>Appendix One</w:t>
      </w:r>
      <w:bookmarkEnd w:id="47"/>
    </w:p>
    <w:p w14:paraId="08B6141F">
      <w:pPr>
        <w:ind w:firstLine="482"/>
        <w:rPr>
          <w:b/>
          <w:bCs/>
          <w:color w:val="FF0000"/>
          <w:szCs w:val="24"/>
        </w:rPr>
      </w:pPr>
      <w:r>
        <w:rPr>
          <w:b/>
          <w:bCs/>
          <w:color w:val="FF0000"/>
          <w:szCs w:val="24"/>
        </w:rPr>
        <w:t>美赛中可以有附录也可以没有附录，即此部分可以省略</w:t>
      </w:r>
    </w:p>
    <w:p w14:paraId="4C2EAB59">
      <w:pPr>
        <w:ind w:firstLine="480"/>
      </w:pPr>
    </w:p>
    <w:p w14:paraId="3570571D">
      <w:pPr>
        <w:ind w:firstLine="480"/>
      </w:pPr>
    </w:p>
    <w:p w14:paraId="31CACEF3">
      <w:pPr>
        <w:ind w:firstLine="480"/>
      </w:pPr>
    </w:p>
    <w:p w14:paraId="4C720AD5">
      <w:pPr>
        <w:pStyle w:val="3"/>
        <w:spacing w:before="312" w:beforeLines="100" w:after="312" w:afterLines="100" w:line="360" w:lineRule="auto"/>
        <w:ind w:firstLine="562"/>
        <w:rPr>
          <w:rFonts w:ascii="Times New Roman" w:hAnsi="Times New Roman" w:eastAsia="宋体"/>
        </w:rPr>
      </w:pPr>
      <w:bookmarkStart w:id="48" w:name="_Toc471658531"/>
      <w:r>
        <w:rPr>
          <w:rFonts w:ascii="Times New Roman" w:hAnsi="Times New Roman" w:eastAsia="宋体"/>
        </w:rPr>
        <w:t>Appendix Two</w:t>
      </w:r>
      <w:bookmarkEnd w:id="48"/>
    </w:p>
    <w:p w14:paraId="7A28784A">
      <w:pPr>
        <w:ind w:firstLine="643"/>
        <w:jc w:val="center"/>
        <w:rPr>
          <w:rFonts w:eastAsia="Times New Roman"/>
          <w:b/>
          <w:bCs/>
          <w:kern w:val="44"/>
          <w:sz w:val="32"/>
          <w:szCs w:val="32"/>
        </w:rPr>
        <w:sectPr>
          <w:headerReference r:id="rId11" w:type="default"/>
          <w:pgSz w:w="11906" w:h="16838"/>
          <w:pgMar w:top="1440" w:right="1080" w:bottom="1440" w:left="1080" w:header="851" w:footer="992" w:gutter="0"/>
          <w:pgNumType w:start="2"/>
          <w:cols w:space="720" w:num="1"/>
          <w:docGrid w:type="lines" w:linePitch="312" w:charSpace="0"/>
        </w:sectPr>
      </w:pPr>
    </w:p>
    <w:p w14:paraId="4AF8D2BC">
      <w:pPr>
        <w:pStyle w:val="2"/>
        <w:spacing w:before="312" w:beforeLines="100" w:after="312" w:afterLines="100" w:line="360" w:lineRule="auto"/>
        <w:ind w:firstLine="643"/>
      </w:pPr>
      <w:r>
        <w:t>Report on Use of AI</w:t>
      </w:r>
    </w:p>
    <w:p w14:paraId="46B944D2">
      <w:pPr>
        <w:ind w:firstLine="480"/>
      </w:pPr>
    </w:p>
    <w:p w14:paraId="4C9213EA">
      <w:pPr>
        <w:numPr>
          <w:ilvl w:val="0"/>
          <w:numId w:val="7"/>
        </w:numPr>
        <w:spacing w:line="360" w:lineRule="auto"/>
        <w:ind w:firstLineChars="0"/>
        <w:rPr>
          <w:szCs w:val="24"/>
        </w:rPr>
      </w:pPr>
      <w:r>
        <w:rPr>
          <w:szCs w:val="24"/>
        </w:rPr>
        <w:t>OpenAl ChatGPT(Nov 5, 2023 version, ChatGPT-4,)</w:t>
      </w:r>
    </w:p>
    <w:p w14:paraId="1B12D9DE">
      <w:pPr>
        <w:spacing w:line="360" w:lineRule="auto"/>
        <w:ind w:firstLine="480"/>
        <w:rPr>
          <w:szCs w:val="24"/>
        </w:rPr>
      </w:pPr>
      <w:r>
        <w:rPr>
          <w:szCs w:val="24"/>
        </w:rPr>
        <w:t>Query1: &lt;insert the exact wording you input into the Al too</w:t>
      </w:r>
      <w:r>
        <w:rPr>
          <w:rFonts w:hint="eastAsia"/>
          <w:szCs w:val="24"/>
        </w:rPr>
        <w:t>l</w:t>
      </w:r>
      <w:r>
        <w:rPr>
          <w:szCs w:val="24"/>
        </w:rPr>
        <w:t>&gt;</w:t>
      </w:r>
    </w:p>
    <w:p w14:paraId="3D3CD5AB">
      <w:pPr>
        <w:spacing w:line="360" w:lineRule="auto"/>
        <w:ind w:firstLine="480"/>
        <w:rPr>
          <w:szCs w:val="24"/>
        </w:rPr>
      </w:pPr>
      <w:r>
        <w:rPr>
          <w:szCs w:val="24"/>
        </w:rPr>
        <w:t>Output: &lt;insert the complete output from the Al tool&gt;</w:t>
      </w:r>
    </w:p>
    <w:p w14:paraId="61DDC78D">
      <w:pPr>
        <w:spacing w:line="360" w:lineRule="auto"/>
        <w:ind w:firstLine="480"/>
        <w:rPr>
          <w:szCs w:val="24"/>
        </w:rPr>
      </w:pPr>
    </w:p>
    <w:p w14:paraId="143D628A">
      <w:pPr>
        <w:numPr>
          <w:ilvl w:val="0"/>
          <w:numId w:val="7"/>
        </w:numPr>
        <w:spacing w:line="360" w:lineRule="auto"/>
        <w:ind w:firstLineChars="0"/>
        <w:rPr>
          <w:szCs w:val="24"/>
        </w:rPr>
      </w:pPr>
      <w:r>
        <w:rPr>
          <w:szCs w:val="24"/>
        </w:rPr>
        <w:t>OpenAl Ernie (Nov 5, 2023 version, Ernie 4.0)</w:t>
      </w:r>
    </w:p>
    <w:p w14:paraId="11F9F458">
      <w:pPr>
        <w:spacing w:line="360" w:lineRule="auto"/>
        <w:ind w:firstLine="480"/>
        <w:rPr>
          <w:szCs w:val="24"/>
        </w:rPr>
      </w:pPr>
      <w:r>
        <w:rPr>
          <w:szCs w:val="24"/>
        </w:rPr>
        <w:t>Query1: &lt;insert the exact wording of</w:t>
      </w:r>
      <w:r>
        <w:rPr>
          <w:rFonts w:hint="eastAsia"/>
          <w:szCs w:val="24"/>
        </w:rPr>
        <w:t xml:space="preserve"> </w:t>
      </w:r>
      <w:r>
        <w:rPr>
          <w:szCs w:val="24"/>
        </w:rPr>
        <w:t>any subsequent input into the Al tool</w:t>
      </w:r>
    </w:p>
    <w:p w14:paraId="3D1F8DE4">
      <w:pPr>
        <w:spacing w:line="360" w:lineRule="auto"/>
        <w:ind w:firstLine="480"/>
        <w:rPr>
          <w:szCs w:val="24"/>
        </w:rPr>
      </w:pPr>
      <w:r>
        <w:rPr>
          <w:szCs w:val="24"/>
        </w:rPr>
        <w:t>Output: &lt;insert the compete output from the second query&gt;</w:t>
      </w:r>
    </w:p>
    <w:p w14:paraId="7E9326F6">
      <w:pPr>
        <w:spacing w:line="360" w:lineRule="auto"/>
        <w:ind w:firstLine="0" w:firstLineChars="0"/>
        <w:rPr>
          <w:szCs w:val="24"/>
        </w:rPr>
      </w:pPr>
    </w:p>
    <w:p w14:paraId="6E4AA1FA">
      <w:pPr>
        <w:numPr>
          <w:ilvl w:val="0"/>
          <w:numId w:val="7"/>
        </w:numPr>
        <w:spacing w:line="360" w:lineRule="auto"/>
        <w:ind w:firstLineChars="0"/>
        <w:rPr>
          <w:szCs w:val="24"/>
        </w:rPr>
      </w:pPr>
      <w:r>
        <w:rPr>
          <w:szCs w:val="24"/>
        </w:rPr>
        <w:t>Github CoPi</w:t>
      </w:r>
      <w:r>
        <w:rPr>
          <w:rFonts w:hint="eastAsia"/>
          <w:szCs w:val="24"/>
        </w:rPr>
        <w:t>l</w:t>
      </w:r>
      <w:r>
        <w:rPr>
          <w:szCs w:val="24"/>
        </w:rPr>
        <w:t>ot (Feb 3, 2024 version)</w:t>
      </w:r>
    </w:p>
    <w:p w14:paraId="4034E257">
      <w:pPr>
        <w:spacing w:line="360" w:lineRule="auto"/>
        <w:ind w:firstLine="480"/>
        <w:rPr>
          <w:rFonts w:hint="eastAsia"/>
          <w:szCs w:val="24"/>
        </w:rPr>
      </w:pPr>
      <w:r>
        <w:rPr>
          <w:szCs w:val="24"/>
        </w:rPr>
        <w:t>Query1: &lt;insert the exact wording you input into the Al too</w:t>
      </w:r>
      <w:r>
        <w:rPr>
          <w:rFonts w:hint="eastAsia"/>
          <w:szCs w:val="24"/>
        </w:rPr>
        <w:t>l</w:t>
      </w:r>
      <w:r>
        <w:rPr>
          <w:szCs w:val="24"/>
        </w:rPr>
        <w:t>&gt;</w:t>
      </w:r>
    </w:p>
    <w:p w14:paraId="47DBFA72">
      <w:pPr>
        <w:spacing w:line="360" w:lineRule="auto"/>
        <w:ind w:firstLine="480"/>
        <w:rPr>
          <w:szCs w:val="24"/>
        </w:rPr>
      </w:pPr>
      <w:r>
        <w:rPr>
          <w:szCs w:val="24"/>
        </w:rPr>
        <w:t>Output: &lt;insert the complete output from the Al too</w:t>
      </w:r>
      <w:r>
        <w:rPr>
          <w:rFonts w:hint="eastAsia"/>
          <w:szCs w:val="24"/>
        </w:rPr>
        <w:t>l</w:t>
      </w:r>
      <w:r>
        <w:rPr>
          <w:szCs w:val="24"/>
        </w:rPr>
        <w:t>&gt;</w:t>
      </w:r>
    </w:p>
    <w:p w14:paraId="5D23D542">
      <w:pPr>
        <w:spacing w:line="360" w:lineRule="auto"/>
        <w:ind w:firstLine="0" w:firstLineChars="0"/>
        <w:rPr>
          <w:rFonts w:hint="eastAsia"/>
          <w:szCs w:val="24"/>
        </w:rPr>
      </w:pPr>
    </w:p>
    <w:p w14:paraId="42B929C1">
      <w:pPr>
        <w:numPr>
          <w:ilvl w:val="0"/>
          <w:numId w:val="7"/>
        </w:numPr>
        <w:spacing w:line="360" w:lineRule="auto"/>
        <w:ind w:firstLineChars="0"/>
        <w:rPr>
          <w:szCs w:val="24"/>
        </w:rPr>
      </w:pPr>
      <w:r>
        <w:rPr>
          <w:szCs w:val="24"/>
        </w:rPr>
        <w:t>Google Bard(Feb 2, 2024 version)</w:t>
      </w:r>
    </w:p>
    <w:p w14:paraId="5483B6B7">
      <w:pPr>
        <w:spacing w:line="360" w:lineRule="auto"/>
        <w:ind w:firstLine="480"/>
        <w:rPr>
          <w:szCs w:val="24"/>
        </w:rPr>
      </w:pPr>
      <w:r>
        <w:rPr>
          <w:szCs w:val="24"/>
        </w:rPr>
        <w:t>Query: &lt;insert the exact wording of</w:t>
      </w:r>
      <w:r>
        <w:rPr>
          <w:rFonts w:hint="eastAsia"/>
          <w:szCs w:val="24"/>
        </w:rPr>
        <w:t xml:space="preserve"> </w:t>
      </w:r>
      <w:r>
        <w:rPr>
          <w:szCs w:val="24"/>
        </w:rPr>
        <w:t>your query&gt;</w:t>
      </w:r>
    </w:p>
    <w:p w14:paraId="5C057002">
      <w:pPr>
        <w:spacing w:line="360" w:lineRule="auto"/>
        <w:ind w:firstLine="480"/>
        <w:rPr>
          <w:szCs w:val="24"/>
        </w:rPr>
      </w:pPr>
      <w:r>
        <w:rPr>
          <w:szCs w:val="24"/>
        </w:rPr>
        <w:t>Output: &lt;insert the complete output from the Al too</w:t>
      </w:r>
      <w:r>
        <w:rPr>
          <w:rFonts w:hint="eastAsia"/>
          <w:szCs w:val="24"/>
        </w:rPr>
        <w:t>l</w:t>
      </w:r>
      <w:r>
        <w:rPr>
          <w:szCs w:val="24"/>
        </w:rPr>
        <w:t>&gt;</w:t>
      </w:r>
    </w:p>
    <w:sectPr>
      <w:headerReference r:id="rId12" w:type="default"/>
      <w:pgSz w:w="11906" w:h="16838"/>
      <w:pgMar w:top="1440" w:right="1080" w:bottom="1440" w:left="1080" w:header="851" w:footer="992" w:gutter="0"/>
      <w:pgNumType w:start="2"/>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43FDF">
    <w:pPr>
      <w:pStyle w:val="9"/>
      <w:ind w:right="360" w:firstLine="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FB1E">
    <w:pPr>
      <w:pStyle w:val="9"/>
      <w:framePr w:wrap="around" w:vAnchor="text" w:hAnchor="margin" w:xAlign="right" w:y="1"/>
      <w:ind w:firstLine="360"/>
      <w:rPr>
        <w:rStyle w:val="22"/>
      </w:rPr>
    </w:pPr>
    <w:r>
      <w:fldChar w:fldCharType="begin"/>
    </w:r>
    <w:r>
      <w:rPr>
        <w:rStyle w:val="22"/>
      </w:rPr>
      <w:instrText xml:space="preserve">PAGE  </w:instrText>
    </w:r>
    <w:r>
      <w:fldChar w:fldCharType="separate"/>
    </w:r>
    <w:r>
      <w:fldChar w:fldCharType="end"/>
    </w:r>
  </w:p>
  <w:p w14:paraId="15476966">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1EB0E">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A1DD6">
    <w:pPr>
      <w:pStyle w:val="10"/>
      <w:ind w:firstLine="420"/>
      <w:jc w:val="both"/>
      <w:rPr>
        <w:rFonts w:hint="eastAsia"/>
        <w:sz w:val="21"/>
      </w:rPr>
    </w:pPr>
    <w:r>
      <w:rPr>
        <w:rFonts w:hint="eastAsia"/>
        <w:sz w:val="21"/>
      </w:rPr>
      <w:t xml:space="preserve">Team # 00000                                                                      </w:t>
    </w:r>
    <w:r>
      <w:rPr>
        <w:sz w:val="21"/>
      </w:rPr>
      <w:t xml:space="preserve">Page </w:t>
    </w:r>
    <w:r>
      <w:rPr>
        <w:sz w:val="21"/>
      </w:rPr>
      <w:fldChar w:fldCharType="begin"/>
    </w:r>
    <w:r>
      <w:rPr>
        <w:sz w:val="21"/>
      </w:rPr>
      <w:instrText xml:space="preserve"> PAGE </w:instrText>
    </w:r>
    <w:r>
      <w:rPr>
        <w:sz w:val="21"/>
      </w:rPr>
      <w:fldChar w:fldCharType="separate"/>
    </w:r>
    <w:r>
      <w:rPr>
        <w:sz w:val="21"/>
        <w:lang w:val="en-US" w:eastAsia="zh-CN"/>
      </w:rPr>
      <w:t>1</w:t>
    </w:r>
    <w:r>
      <w:rPr>
        <w:sz w:val="21"/>
      </w:rPr>
      <w:fldChar w:fldCharType="end"/>
    </w:r>
    <w:r>
      <w:rPr>
        <w:sz w:val="21"/>
      </w:rPr>
      <w:t xml:space="preserve"> of </w:t>
    </w:r>
    <w:r>
      <w:rPr>
        <w:sz w:val="21"/>
      </w:rPr>
      <w:fldChar w:fldCharType="begin"/>
    </w:r>
    <w:r>
      <w:rPr>
        <w:sz w:val="21"/>
      </w:rPr>
      <w:instrText xml:space="preserve"> NUMPAGES </w:instrText>
    </w:r>
    <w:r>
      <w:rPr>
        <w:sz w:val="21"/>
      </w:rPr>
      <w:fldChar w:fldCharType="separate"/>
    </w:r>
    <w:r>
      <w:rPr>
        <w:sz w:val="21"/>
        <w:lang w:val="en-US" w:eastAsia="zh-CN"/>
      </w:rPr>
      <w:t>20</w:t>
    </w:r>
    <w:r>
      <w:rPr>
        <w:sz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9630E">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AE28">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753F4">
    <w:pPr>
      <w:pStyle w:val="10"/>
      <w:ind w:firstLine="0" w:firstLineChars="0"/>
      <w:jc w:val="both"/>
      <w:rPr>
        <w:rFonts w:hint="eastAsia"/>
        <w:sz w:val="21"/>
      </w:rPr>
    </w:pPr>
    <w:r>
      <w:rPr>
        <w:rFonts w:hint="eastAsia"/>
        <w:sz w:val="21"/>
      </w:rPr>
      <w:t xml:space="preserve">Team # 0000000                                                                   </w:t>
    </w:r>
    <w:r>
      <w:rPr>
        <w:sz w:val="21"/>
      </w:rPr>
      <w:t xml:space="preserve">Page </w:t>
    </w:r>
    <w:r>
      <w:rPr>
        <w:sz w:val="21"/>
      </w:rPr>
      <w:fldChar w:fldCharType="begin"/>
    </w:r>
    <w:r>
      <w:rPr>
        <w:sz w:val="21"/>
      </w:rPr>
      <w:instrText xml:space="preserve"> PAGE </w:instrText>
    </w:r>
    <w:r>
      <w:rPr>
        <w:sz w:val="21"/>
      </w:rPr>
      <w:fldChar w:fldCharType="separate"/>
    </w:r>
    <w:r>
      <w:rPr>
        <w:sz w:val="21"/>
      </w:rPr>
      <w:t>1</w:t>
    </w:r>
    <w:r>
      <w:rPr>
        <w:sz w:val="21"/>
      </w:rPr>
      <w:fldChar w:fldCharType="end"/>
    </w:r>
    <w:r>
      <w:rPr>
        <w:sz w:val="21"/>
      </w:rPr>
      <w:t xml:space="preserve"> of </w:t>
    </w:r>
    <w:r>
      <w:rPr>
        <w:sz w:val="21"/>
      </w:rPr>
      <w:fldChar w:fldCharType="begin"/>
    </w:r>
    <w:r>
      <w:rPr>
        <w:sz w:val="21"/>
      </w:rPr>
      <w:instrText xml:space="preserve"> NUMPAGES </w:instrText>
    </w:r>
    <w:r>
      <w:rPr>
        <w:sz w:val="21"/>
      </w:rPr>
      <w:fldChar w:fldCharType="separate"/>
    </w:r>
    <w:r>
      <w:rPr>
        <w:sz w:val="21"/>
      </w:rPr>
      <w:t>20</w:t>
    </w:r>
    <w:r>
      <w:rPr>
        <w:sz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9216">
    <w:pPr>
      <w:pStyle w:val="10"/>
      <w:ind w:firstLine="420"/>
      <w:rPr>
        <w:rFonts w:hint="eastAsia"/>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5B5E7"/>
    <w:multiLevelType w:val="singleLevel"/>
    <w:tmpl w:val="A055B5E7"/>
    <w:lvl w:ilvl="0" w:tentative="0">
      <w:start w:val="1"/>
      <w:numFmt w:val="decimal"/>
      <w:lvlText w:val="[%1] "/>
      <w:lvlJc w:val="left"/>
      <w:pPr>
        <w:tabs>
          <w:tab w:val="left" w:pos="420"/>
        </w:tabs>
        <w:ind w:left="425" w:hanging="425"/>
      </w:pPr>
      <w:rPr>
        <w:rFonts w:hint="default"/>
      </w:rPr>
    </w:lvl>
  </w:abstractNum>
  <w:abstractNum w:abstractNumId="1">
    <w:nsid w:val="B8EB13E2"/>
    <w:multiLevelType w:val="singleLevel"/>
    <w:tmpl w:val="B8EB13E2"/>
    <w:lvl w:ilvl="0" w:tentative="0">
      <w:start w:val="1"/>
      <w:numFmt w:val="bullet"/>
      <w:lvlText w:val=""/>
      <w:lvlJc w:val="left"/>
      <w:pPr>
        <w:ind w:left="420" w:hanging="420"/>
      </w:pPr>
      <w:rPr>
        <w:rFonts w:hint="default" w:ascii="Wingdings" w:hAnsi="Wingdings"/>
      </w:rPr>
    </w:lvl>
  </w:abstractNum>
  <w:abstractNum w:abstractNumId="2">
    <w:nsid w:val="13973CB4"/>
    <w:multiLevelType w:val="multilevel"/>
    <w:tmpl w:val="13973CB4"/>
    <w:lvl w:ilvl="0" w:tentative="0">
      <w:start w:val="1"/>
      <w:numFmt w:val="decimal"/>
      <w:lvlText w:val="%1"/>
      <w:lvlJc w:val="left"/>
      <w:pPr>
        <w:ind w:left="420" w:hanging="420"/>
      </w:pPr>
      <w:rPr>
        <w:rFonts w:hint="default"/>
      </w:rPr>
    </w:lvl>
    <w:lvl w:ilvl="1" w:tentative="0">
      <w:start w:val="1"/>
      <w:numFmt w:val="decimal"/>
      <w:pStyle w:val="3"/>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52763684"/>
    <w:multiLevelType w:val="multilevel"/>
    <w:tmpl w:val="52763684"/>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6303356"/>
    <w:multiLevelType w:val="singleLevel"/>
    <w:tmpl w:val="66303356"/>
    <w:lvl w:ilvl="0" w:tentative="0">
      <w:start w:val="1"/>
      <w:numFmt w:val="decimal"/>
      <w:lvlText w:val="%1."/>
      <w:lvlJc w:val="left"/>
      <w:pPr>
        <w:ind w:left="425" w:hanging="425"/>
      </w:pPr>
      <w:rPr>
        <w:rFonts w:hint="default"/>
      </w:rPr>
    </w:lvl>
  </w:abstractNum>
  <w:abstractNum w:abstractNumId="5">
    <w:nsid w:val="6D1930E9"/>
    <w:multiLevelType w:val="multilevel"/>
    <w:tmpl w:val="6D1930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F37289D"/>
    <w:multiLevelType w:val="multilevel"/>
    <w:tmpl w:val="7F37289D"/>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xNzFiNzAyOThjYjY1MTRhN2I1YjEwNzgzY2EzODUifQ=="/>
  </w:docVars>
  <w:rsids>
    <w:rsidRoot w:val="00172A27"/>
    <w:rsid w:val="000B5F46"/>
    <w:rsid w:val="000E6284"/>
    <w:rsid w:val="001805A7"/>
    <w:rsid w:val="001A6E60"/>
    <w:rsid w:val="001C259E"/>
    <w:rsid w:val="001C52E1"/>
    <w:rsid w:val="00210E78"/>
    <w:rsid w:val="00211E49"/>
    <w:rsid w:val="0023513D"/>
    <w:rsid w:val="00255582"/>
    <w:rsid w:val="003C610E"/>
    <w:rsid w:val="004A07AB"/>
    <w:rsid w:val="004C7E5F"/>
    <w:rsid w:val="004F3145"/>
    <w:rsid w:val="00522442"/>
    <w:rsid w:val="00582381"/>
    <w:rsid w:val="00587B7C"/>
    <w:rsid w:val="005D2EF5"/>
    <w:rsid w:val="006231C4"/>
    <w:rsid w:val="0066701B"/>
    <w:rsid w:val="00667925"/>
    <w:rsid w:val="0068038C"/>
    <w:rsid w:val="006A42F3"/>
    <w:rsid w:val="006B0FB2"/>
    <w:rsid w:val="006F140C"/>
    <w:rsid w:val="0070701D"/>
    <w:rsid w:val="0072099B"/>
    <w:rsid w:val="007A72CE"/>
    <w:rsid w:val="007C5F99"/>
    <w:rsid w:val="00801F91"/>
    <w:rsid w:val="00871437"/>
    <w:rsid w:val="009031C4"/>
    <w:rsid w:val="00925CF8"/>
    <w:rsid w:val="00963854"/>
    <w:rsid w:val="009F05C9"/>
    <w:rsid w:val="00A641E9"/>
    <w:rsid w:val="00A81BB7"/>
    <w:rsid w:val="00AB44FD"/>
    <w:rsid w:val="00AE3979"/>
    <w:rsid w:val="00B038E0"/>
    <w:rsid w:val="00B13A9C"/>
    <w:rsid w:val="00B208BC"/>
    <w:rsid w:val="00B52B41"/>
    <w:rsid w:val="00B72561"/>
    <w:rsid w:val="00BC263B"/>
    <w:rsid w:val="00BF3731"/>
    <w:rsid w:val="00CA2349"/>
    <w:rsid w:val="00CE4683"/>
    <w:rsid w:val="00CF2A0E"/>
    <w:rsid w:val="00D908F0"/>
    <w:rsid w:val="00DA0CDC"/>
    <w:rsid w:val="00DB76EA"/>
    <w:rsid w:val="00DF71E0"/>
    <w:rsid w:val="00DF76CE"/>
    <w:rsid w:val="00E607CB"/>
    <w:rsid w:val="00F17648"/>
    <w:rsid w:val="00F843A5"/>
    <w:rsid w:val="09540C99"/>
    <w:rsid w:val="14B24AC5"/>
    <w:rsid w:val="1A966B12"/>
    <w:rsid w:val="22804478"/>
    <w:rsid w:val="29681854"/>
    <w:rsid w:val="385E118B"/>
    <w:rsid w:val="3C6F2BDD"/>
    <w:rsid w:val="7F36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24"/>
    <w:qFormat/>
    <w:uiPriority w:val="0"/>
    <w:pPr>
      <w:keepNext/>
      <w:keepLines/>
      <w:spacing w:before="460" w:after="450" w:line="578" w:lineRule="auto"/>
      <w:jc w:val="center"/>
      <w:outlineLvl w:val="0"/>
    </w:pPr>
    <w:rPr>
      <w:rFonts w:eastAsia="Times New Roman"/>
      <w:b/>
      <w:bCs/>
      <w:kern w:val="44"/>
      <w:sz w:val="32"/>
      <w:szCs w:val="44"/>
    </w:rPr>
  </w:style>
  <w:style w:type="paragraph" w:styleId="3">
    <w:name w:val="heading 2"/>
    <w:basedOn w:val="1"/>
    <w:next w:val="1"/>
    <w:link w:val="25"/>
    <w:qFormat/>
    <w:uiPriority w:val="0"/>
    <w:pPr>
      <w:keepNext/>
      <w:keepLines/>
      <w:numPr>
        <w:ilvl w:val="1"/>
        <w:numId w:val="1"/>
      </w:numPr>
      <w:spacing w:before="380" w:after="380" w:line="416" w:lineRule="auto"/>
      <w:jc w:val="left"/>
      <w:outlineLvl w:val="1"/>
    </w:pPr>
    <w:rPr>
      <w:rFonts w:ascii="Arial" w:hAnsi="Arial" w:eastAsia="Times New Roman"/>
      <w:b/>
      <w:bCs/>
      <w:sz w:val="28"/>
      <w:szCs w:val="32"/>
    </w:rPr>
  </w:style>
  <w:style w:type="paragraph" w:styleId="4">
    <w:name w:val="heading 3"/>
    <w:basedOn w:val="1"/>
    <w:next w:val="1"/>
    <w:link w:val="38"/>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tabs>
        <w:tab w:val="left" w:pos="142"/>
        <w:tab w:val="right" w:leader="dot" w:pos="9781"/>
      </w:tabs>
      <w:ind w:left="424" w:leftChars="202"/>
    </w:pPr>
  </w:style>
  <w:style w:type="paragraph" w:styleId="7">
    <w:name w:val="Date"/>
    <w:basedOn w:val="1"/>
    <w:next w:val="1"/>
    <w:link w:val="26"/>
    <w:uiPriority w:val="0"/>
    <w:pPr>
      <w:ind w:left="100" w:leftChars="2500"/>
    </w:pPr>
  </w:style>
  <w:style w:type="paragraph" w:styleId="8">
    <w:name w:val="Balloon Text"/>
    <w:basedOn w:val="1"/>
    <w:link w:val="27"/>
    <w:uiPriority w:val="0"/>
    <w:rPr>
      <w:sz w:val="18"/>
      <w:szCs w:val="18"/>
    </w:rPr>
  </w:style>
  <w:style w:type="paragraph" w:styleId="9">
    <w:name w:val="footer"/>
    <w:basedOn w:val="1"/>
    <w:link w:val="35"/>
    <w:uiPriority w:val="99"/>
    <w:pPr>
      <w:tabs>
        <w:tab w:val="center" w:pos="4153"/>
        <w:tab w:val="right" w:pos="8306"/>
      </w:tabs>
      <w:snapToGrid w:val="0"/>
      <w:jc w:val="left"/>
    </w:pPr>
    <w:rPr>
      <w:sz w:val="18"/>
    </w:rPr>
  </w:style>
  <w:style w:type="paragraph" w:styleId="10">
    <w:name w:val="header"/>
    <w:basedOn w:val="1"/>
    <w:link w:val="34"/>
    <w:qFormat/>
    <w:uiPriority w:val="99"/>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39"/>
    <w:pPr>
      <w:tabs>
        <w:tab w:val="right" w:leader="dot" w:pos="9736"/>
      </w:tabs>
    </w:pPr>
    <w:rPr>
      <w:b/>
      <w:lang w:val="en-US" w:eastAsia="zh-CN"/>
    </w:rPr>
  </w:style>
  <w:style w:type="paragraph" w:styleId="12">
    <w:name w:val="Subtitle"/>
    <w:basedOn w:val="1"/>
    <w:next w:val="1"/>
    <w:link w:val="28"/>
    <w:qFormat/>
    <w:uiPriority w:val="0"/>
    <w:pPr>
      <w:spacing w:before="240" w:after="60" w:line="312" w:lineRule="auto"/>
      <w:ind w:firstLine="0" w:firstLineChars="0"/>
      <w:jc w:val="left"/>
      <w:outlineLvl w:val="1"/>
    </w:pPr>
    <w:rPr>
      <w:rFonts w:ascii="Cambria" w:hAnsi="Cambria" w:eastAsia="Times New Roman"/>
      <w:b/>
      <w:bCs/>
      <w:kern w:val="28"/>
      <w:szCs w:val="32"/>
    </w:rPr>
  </w:style>
  <w:style w:type="paragraph" w:styleId="13">
    <w:name w:val="toc 2"/>
    <w:basedOn w:val="1"/>
    <w:next w:val="1"/>
    <w:qFormat/>
    <w:uiPriority w:val="39"/>
    <w:pPr>
      <w:tabs>
        <w:tab w:val="right" w:leader="dot" w:pos="9781"/>
      </w:tabs>
      <w:ind w:right="-34" w:rightChars="-16"/>
    </w:pPr>
    <w:rPr>
      <w:kern w:val="0"/>
      <w:lang w:val="en-US" w:eastAsia="zh-CN"/>
    </w:rPr>
  </w:style>
  <w:style w:type="paragraph" w:styleId="14">
    <w:name w:val="Normal (Web)"/>
    <w:basedOn w:val="1"/>
    <w:unhideWhenUsed/>
    <w:qFormat/>
    <w:uiPriority w:val="99"/>
    <w:pPr>
      <w:widowControl/>
      <w:spacing w:before="100" w:beforeAutospacing="1" w:after="100" w:afterAutospacing="1"/>
      <w:ind w:firstLine="0" w:firstLineChars="0"/>
      <w:jc w:val="left"/>
    </w:pPr>
    <w:rPr>
      <w:rFonts w:ascii="宋体" w:hAnsi="宋体" w:cs="宋体"/>
      <w:kern w:val="0"/>
      <w:szCs w:val="24"/>
    </w:rPr>
  </w:style>
  <w:style w:type="paragraph" w:styleId="15">
    <w:name w:val="Title"/>
    <w:basedOn w:val="1"/>
    <w:next w:val="1"/>
    <w:link w:val="29"/>
    <w:qFormat/>
    <w:uiPriority w:val="0"/>
    <w:pPr>
      <w:spacing w:before="240" w:after="60"/>
      <w:jc w:val="center"/>
      <w:outlineLvl w:val="0"/>
    </w:pPr>
    <w:rPr>
      <w:rFonts w:ascii="Cambria" w:hAnsi="Cambria"/>
      <w:b/>
      <w:bCs/>
      <w:sz w:val="32"/>
      <w:szCs w:val="32"/>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Table Classic 1"/>
    <w:basedOn w:val="16"/>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9">
    <w:name w:val="Light Shading"/>
    <w:basedOn w:val="16"/>
    <w:qFormat/>
    <w:uiPriority w:val="60"/>
    <w:rPr>
      <w:rFonts w:ascii="Calibri" w:hAnsi="Calibri"/>
      <w:color w:val="000000"/>
      <w:kern w:val="2"/>
      <w:sz w:val="21"/>
      <w:szCs w:val="22"/>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styleId="21">
    <w:name w:val="Strong"/>
    <w:basedOn w:val="20"/>
    <w:qFormat/>
    <w:uiPriority w:val="22"/>
    <w:rPr>
      <w:b/>
      <w:bCs/>
    </w:rPr>
  </w:style>
  <w:style w:type="character" w:styleId="22">
    <w:name w:val="page number"/>
    <w:basedOn w:val="20"/>
    <w:qFormat/>
    <w:uiPriority w:val="0"/>
  </w:style>
  <w:style w:type="character" w:styleId="23">
    <w:name w:val="Hyperlink"/>
    <w:qFormat/>
    <w:uiPriority w:val="99"/>
    <w:rPr>
      <w:color w:val="0000FF"/>
      <w:u w:val="single"/>
    </w:rPr>
  </w:style>
  <w:style w:type="character" w:customStyle="1" w:styleId="24">
    <w:name w:val="标题 1 字符"/>
    <w:link w:val="2"/>
    <w:qFormat/>
    <w:uiPriority w:val="0"/>
    <w:rPr>
      <w:rFonts w:eastAsia="Times New Roman"/>
      <w:b/>
      <w:bCs/>
      <w:kern w:val="44"/>
      <w:sz w:val="32"/>
      <w:szCs w:val="44"/>
    </w:rPr>
  </w:style>
  <w:style w:type="character" w:customStyle="1" w:styleId="25">
    <w:name w:val="标题 2 字符"/>
    <w:link w:val="3"/>
    <w:uiPriority w:val="0"/>
    <w:rPr>
      <w:rFonts w:ascii="Arial" w:hAnsi="Arial" w:eastAsia="Times New Roman"/>
      <w:b/>
      <w:bCs/>
      <w:kern w:val="2"/>
      <w:sz w:val="28"/>
      <w:szCs w:val="32"/>
    </w:rPr>
  </w:style>
  <w:style w:type="character" w:customStyle="1" w:styleId="26">
    <w:name w:val="日期 字符"/>
    <w:link w:val="7"/>
    <w:qFormat/>
    <w:uiPriority w:val="0"/>
    <w:rPr>
      <w:kern w:val="2"/>
      <w:sz w:val="21"/>
    </w:rPr>
  </w:style>
  <w:style w:type="character" w:customStyle="1" w:styleId="27">
    <w:name w:val="批注框文本 字符"/>
    <w:link w:val="8"/>
    <w:qFormat/>
    <w:uiPriority w:val="0"/>
    <w:rPr>
      <w:kern w:val="2"/>
      <w:sz w:val="18"/>
      <w:szCs w:val="18"/>
    </w:rPr>
  </w:style>
  <w:style w:type="character" w:customStyle="1" w:styleId="28">
    <w:name w:val="副标题 字符"/>
    <w:link w:val="12"/>
    <w:qFormat/>
    <w:uiPriority w:val="0"/>
    <w:rPr>
      <w:rFonts w:ascii="Cambria" w:hAnsi="Cambria" w:eastAsia="Times New Roman" w:cs="Times New Roman"/>
      <w:b/>
      <w:bCs/>
      <w:kern w:val="28"/>
      <w:sz w:val="24"/>
      <w:szCs w:val="32"/>
    </w:rPr>
  </w:style>
  <w:style w:type="character" w:customStyle="1" w:styleId="29">
    <w:name w:val="标题 字符"/>
    <w:link w:val="15"/>
    <w:uiPriority w:val="0"/>
    <w:rPr>
      <w:rFonts w:ascii="Cambria" w:hAnsi="Cambria" w:cs="Times New Roman"/>
      <w:b/>
      <w:bCs/>
      <w:kern w:val="2"/>
      <w:sz w:val="32"/>
      <w:szCs w:val="32"/>
    </w:rPr>
  </w:style>
  <w:style w:type="character" w:customStyle="1" w:styleId="30">
    <w:name w:val="hps"/>
    <w:basedOn w:val="20"/>
    <w:uiPriority w:val="0"/>
  </w:style>
  <w:style w:type="paragraph" w:styleId="31">
    <w:name w:val="List Paragraph"/>
    <w:basedOn w:val="1"/>
    <w:qFormat/>
    <w:uiPriority w:val="34"/>
    <w:pPr>
      <w:ind w:firstLine="420"/>
    </w:pPr>
  </w:style>
  <w:style w:type="character" w:customStyle="1" w:styleId="32">
    <w:name w:val="标题 4 字符"/>
    <w:basedOn w:val="20"/>
    <w:link w:val="5"/>
    <w:semiHidden/>
    <w:qFormat/>
    <w:uiPriority w:val="0"/>
    <w:rPr>
      <w:rFonts w:asciiTheme="majorHAnsi" w:hAnsiTheme="majorHAnsi" w:eastAsiaTheme="majorEastAsia" w:cstheme="majorBidi"/>
      <w:b/>
      <w:bCs/>
      <w:kern w:val="2"/>
      <w:sz w:val="28"/>
      <w:szCs w:val="28"/>
    </w:rPr>
  </w:style>
  <w:style w:type="character" w:customStyle="1" w:styleId="33">
    <w:name w:val="Verbatim Char"/>
    <w:qFormat/>
    <w:uiPriority w:val="0"/>
    <w:rPr>
      <w:rFonts w:ascii="Consolas" w:hAnsi="Consolas"/>
      <w:sz w:val="22"/>
    </w:rPr>
  </w:style>
  <w:style w:type="character" w:customStyle="1" w:styleId="34">
    <w:name w:val="页眉 字符"/>
    <w:link w:val="10"/>
    <w:qFormat/>
    <w:uiPriority w:val="99"/>
    <w:rPr>
      <w:kern w:val="2"/>
      <w:sz w:val="18"/>
    </w:rPr>
  </w:style>
  <w:style w:type="character" w:customStyle="1" w:styleId="35">
    <w:name w:val="页脚 字符"/>
    <w:link w:val="9"/>
    <w:qFormat/>
    <w:uiPriority w:val="99"/>
    <w:rPr>
      <w:kern w:val="2"/>
      <w:sz w:val="18"/>
    </w:rPr>
  </w:style>
  <w:style w:type="paragraph" w:customStyle="1" w:styleId="36">
    <w:name w:val="公式"/>
    <w:basedOn w:val="1"/>
    <w:link w:val="37"/>
    <w:qFormat/>
    <w:uiPriority w:val="0"/>
    <w:pPr>
      <w:ind w:firstLine="0" w:firstLineChars="0"/>
      <w:jc w:val="center"/>
    </w:pPr>
  </w:style>
  <w:style w:type="character" w:customStyle="1" w:styleId="37">
    <w:name w:val="公式 字符"/>
    <w:basedOn w:val="20"/>
    <w:link w:val="36"/>
    <w:uiPriority w:val="0"/>
    <w:rPr>
      <w:kern w:val="2"/>
      <w:sz w:val="24"/>
    </w:rPr>
  </w:style>
  <w:style w:type="character" w:customStyle="1" w:styleId="38">
    <w:name w:val="标题 3 字符"/>
    <w:basedOn w:val="20"/>
    <w:link w:val="4"/>
    <w:semiHidden/>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https://www.logo9.net/logoulchart/allimg/1600422303(1).png" TargetMode="Externa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23</Pages>
  <Words>4358</Words>
  <Characters>6084</Characters>
  <Lines>88</Lines>
  <Paragraphs>49</Paragraphs>
  <TotalTime>0</TotalTime>
  <ScaleCrop>false</ScaleCrop>
  <LinksUpToDate>false</LinksUpToDate>
  <CharactersWithSpaces>6408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2025-01-25T14:07:00Z</dcterms:created>
  <dc:creator>kev</dc:creator>
  <cp:lastModifiedBy>数学建模老哥团队</cp:lastModifiedBy>
  <cp:lastPrinted>2017-01-08T11:34:00Z</cp:lastPrinted>
  <dcterms:modified xsi:type="dcterms:W3CDTF">2025-01-26T12:26:36Z</dcterms:modified>
  <dc:title>Moments in Toll Plaza May be Less Annoying If</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9EE75B5DE9D0459DAEBCA3E006186127_13</vt:lpwstr>
  </property>
  <property fmtid="{D5CDD505-2E9C-101B-9397-08002B2CF9AE}" pid="4" name="KSOTemplateDocerSaveRecord">
    <vt:lpwstr>eyJoZGlkIjoiZTBkNGVhM2E2MzczMTI3OWE2YTE1M2M2YmEwNTIwMDkiLCJ1c2VySWQiOiIzNzIxMzc5MjMifQ==</vt:lpwstr>
  </property>
</Properties>
</file>