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977B">
      <w:pPr>
        <w:pStyle w:val="3"/>
        <w:keepNext w:val="0"/>
        <w:keepLines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bidi w:val="0"/>
        <w:spacing w:before="0" w:beforeAutospacing="0" w:after="80" w:afterAutospacing="0" w:line="12" w:lineRule="atLeas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/>
          <w:snapToGrid/>
          <w:kern w:val="2"/>
          <w:sz w:val="44"/>
          <w:szCs w:val="52"/>
          <w:lang w:val="en-US" w:eastAsia="zh-CN" w:bidi="ar-SA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/>
          <w:bCs/>
          <w:snapToGrid/>
          <w:kern w:val="2"/>
          <w:sz w:val="44"/>
          <w:szCs w:val="52"/>
          <w:lang w:val="en-US" w:eastAsia="zh-CN" w:bidi="ar-SA"/>
        </w:rPr>
        <w:t>五彩阳光，点亮未来</w:t>
      </w:r>
    </w:p>
    <w:bookmarkEnd w:id="0"/>
    <w:p w14:paraId="47DC2B61">
      <w:pPr>
        <w:pStyle w:val="3"/>
        <w:keepNext w:val="0"/>
        <w:keepLines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bidi w:val="0"/>
        <w:spacing w:before="0" w:beforeAutospacing="0" w:after="80" w:afterAutospacing="0" w:line="12" w:lineRule="atLeast"/>
        <w:ind w:left="0" w:right="0"/>
        <w:jc w:val="center"/>
        <w:rPr>
          <w:rFonts w:hint="default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——澄溪小学课程改革“澄溪模式”的探索与构建</w:t>
      </w:r>
    </w:p>
    <w:p w14:paraId="448E823A">
      <w:pPr>
        <w:pStyle w:val="5"/>
        <w:keepNext w:val="0"/>
        <w:keepLines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bidi w:val="0"/>
        <w:spacing w:before="0" w:beforeAutospacing="0" w:after="160" w:afterAutospacing="0" w:line="12" w:lineRule="atLeast"/>
        <w:ind w:left="0" w:right="0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尊敬的各位领导、专家：</w:t>
      </w:r>
    </w:p>
    <w:p w14:paraId="24C5863D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大家好！</w:t>
      </w:r>
    </w:p>
    <w:p w14:paraId="7CB5F09D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今天我汇报的题目是“五彩阳光，点亮未来”。这不仅是我校教改实验课程的名称，更是我们矢志追求的教育理想。在过去近一年的时间里，澄溪小学立足“阳光文化”的深厚土壤，将国家课改的宏大叙事，转化为扎根乡村、面向未来的“澄溪实践”。我们探索出了一条“高位引领、需求驱动、多方共创”的课程改革之路，并成功构建了第一阶段的核心成果——《“五彩阳光”课程实施方案》。</w:t>
      </w:r>
    </w:p>
    <w:p w14:paraId="730CDD74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下面，我将从三个方面进行汇报。</w:t>
      </w:r>
    </w:p>
    <w:p w14:paraId="0BD2EF50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一、 顶层设计：我们为何出发？——锚定一个核心，回答“为谁培养人”</w:t>
      </w:r>
    </w:p>
    <w:p w14:paraId="459B41EB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课程改革，首要是回答方向问题。我们牢牢锚定“立德树人”这一根本任务，明确了改革的逻辑起点：为党育人，为国育才，培养拥有“阳光心态、健康体魄、博学善思、审美雅趣、劳动自觉”的时代新人。</w:t>
      </w:r>
    </w:p>
    <w:p w14:paraId="4B84C1B5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为此，我们成立了由校领导、骨干教师和校外专家组成的高规格工作专班，高位统筹，确保改革不偏航、不走样。我们做的第一件事，就是将宏大的教育方针，转化为澄溪小学自身的课程哲学，让“五彩阳光”的理念，成为一切行动的价值原点与最终归宿。</w:t>
      </w:r>
    </w:p>
    <w:p w14:paraId="49E1ADEF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二、 实施路径：我们如何前行？——走好“三步棋”，实现科学循证</w:t>
      </w:r>
    </w:p>
    <w:p w14:paraId="4769AD95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为确保蓝图不落空，我们规划了科学严谨的“三步走”实施路径，实现了从理想到方案的精准落地。</w:t>
      </w:r>
    </w:p>
    <w:p w14:paraId="45743D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第一步：精准把脉——“俯身听”与“向外看”相结合。</w:t>
      </w:r>
    </w:p>
    <w:p w14:paraId="3F1A9F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改革不能闭门造车。我们俯身倾听，通过问卷、访谈等多元方式，全方位覆盖学生、教师与家长，精准绘制了涵盖三方需求的“教育生态图谱”。同时，我们向外看齐，对标国家与市级课改文件精神，评估现有课程体系，清晰地识别出国家课程校本化实施、地方课程特色化整合以及校本课程体系化构建的“三大优化点”。</w:t>
      </w:r>
    </w:p>
    <w:p w14:paraId="6CB153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第二步：精雕细琢——“研磨法”与“共创法”相结合。</w:t>
      </w:r>
    </w:p>
    <w:p w14:paraId="37007B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基于精准的需求分析，我们工作小组运用“研磨法”，历时两月，数易其稿，构建了课程方案的雏形。我们深知，方案的生命力在于共识。因此，我们广泛开展内部研讨，让每一位教师都成为改革的“智囊团”和“主人翁”，确保方案贴近教学一线，具备强大的可操作性。</w:t>
      </w:r>
    </w:p>
    <w:p w14:paraId="3CB054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第三步：集思广益——“请进来”与“走出去”相结合。</w:t>
      </w:r>
    </w:p>
    <w:p w14:paraId="4FA273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为提升方案的科学性与前瞻性，我们主动“请进来”，邀请市区教研专家、高校教授组成“最强外脑”，对方案进行多维度、高标准的专业论证，为我们打开了更广阔的视野。通过吸收专家智慧与多方反馈，我们对方案进行了数十次优化迭代，最终淬炼成型。</w:t>
      </w:r>
    </w:p>
    <w:p w14:paraId="167CDA11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三、 核心成果：我们收获了什么？——构建“一体两翼”课程新体系</w:t>
      </w:r>
    </w:p>
    <w:p w14:paraId="6BA17639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历经近一年的探索，我们最核心的成果，便是描绘并确立了澄溪小学“一体两翼、五育并举”的课程改革新蓝图。</w:t>
      </w:r>
    </w:p>
    <w:p w14:paraId="50476B4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“一体”，即做强国家课程主干。 我们通过“精选、精讲、调整、合并”等策略，对国家课程进行校本化重构，优化教学内容与顺序，减负提质，夯实学生学业根基。</w:t>
      </w:r>
    </w:p>
    <w:p w14:paraId="6092335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right="0" w:rightChars="0" w:firstLine="320" w:firstLineChars="1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“两翼”，即做优地方课程与做亮校本课程。 我们整合地方课程，融入本土元素，增强文化认同；同时，系统构建了以“阳光立德、增智、健体、育美、乐劳”为五大支柱的“五彩阳光”校本课程群，如“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阳光</w:t>
      </w: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正心”、“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阳光</w:t>
      </w: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墨韵”等特色课程，为学生的个性化发展提供了无限可能。</w:t>
      </w:r>
    </w:p>
    <w:p w14:paraId="2134906E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这份</w:t>
      </w: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“一体两翼”课程新体系</w:t>
      </w: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，凝聚了多方智慧，回应了师生期盼，</w:t>
      </w: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也</w:t>
      </w: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是未来五年课程改革的纲领性文件。</w:t>
      </w:r>
    </w:p>
    <w:p w14:paraId="36373493">
      <w:pPr>
        <w:pStyle w:val="5"/>
        <w:keepNext w:val="0"/>
        <w:keepLines w:val="0"/>
        <w:pageBreakBefore w:val="0"/>
        <w:widowControl/>
        <w:suppressLineNumbers w:val="0"/>
        <w:pBdr>
          <w:top w:val="none" w:color="1B1C1D" w:sz="0" w:space="0"/>
          <w:left w:val="none" w:color="1B1C1D" w:sz="0" w:space="0"/>
          <w:bottom w:val="none" w:color="1B1C1D" w:sz="0" w:space="0"/>
          <w:right w:val="none" w:color="1B1C1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展望未来，我们即将迈入更为关键的试点实施阶段。我们将以这份方案为指引，以课堂为主阵地，在实践中检验、在反思中优化。我们坚信，在各位领导、专家的持续关怀与指导下，“五彩阳光”必将照亮每一个澄溪孩子的未来，为乡村教育振兴贡献我们的智慧和力量！我的汇报到此结束，谢谢大家！</w:t>
      </w:r>
    </w:p>
    <w:p w14:paraId="74873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语文格子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语文格子">
    <w:panose1 w:val="02000500000000000000"/>
    <w:charset w:val="00"/>
    <w:family w:val="auto"/>
    <w:pitch w:val="default"/>
    <w:sig w:usb0="00000021" w:usb1="00002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78F9"/>
    <w:rsid w:val="492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2025-06-22T07:55:00Z</dcterms:created>
  <dc:creator>橙色日记</dc:creator>
  <cp:lastModifiedBy>橙色日记</cp:lastModifiedBy>
  <dcterms:modified xsi:type="dcterms:W3CDTF">2025-06-22T08:01:50Z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BFC7419C72C34308A99BC16AFCDBAAD7_11</vt:lpwstr>
  </property>
  <property fmtid="{D5CDD505-2E9C-101B-9397-08002B2CF9AE}" pid="4" name="KSOTemplateDocerSaveRecord">
    <vt:lpwstr>eyJoZGlkIjoiYjYxMmU0NTkzMTAzZGFlZDA3YmYwOGY3MjIzN2FlNTIiLCJ1c2VySWQiOiI0ODQ2ODMzODkifQ==</vt:lpwstr>
  </property>
</Properties>
</file>