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23A3E">
      <w:pPr>
        <w:rPr>
          <w:rFonts w:hint="eastAsia"/>
        </w:rPr>
      </w:pPr>
    </w:p>
    <w:p w14:paraId="486188D5">
      <w:pPr>
        <w:ind w:firstLine="2200" w:firstLineChars="500"/>
        <w:jc w:val="both"/>
        <w:rPr>
          <w:rFonts w:hint="default"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rPr>
        <w:t>五彩</w:t>
      </w:r>
      <w:r>
        <w:rPr>
          <w:rFonts w:hint="eastAsia" w:ascii="方正小标宋_GBK" w:hAnsi="方正小标宋_GBK" w:eastAsia="方正小标宋_GBK" w:cs="方正小标宋_GBK"/>
          <w:sz w:val="44"/>
          <w:szCs w:val="52"/>
          <w:lang w:val="en-US" w:eastAsia="zh-CN"/>
        </w:rPr>
        <w:t>阳光</w:t>
      </w:r>
      <w:r>
        <w:rPr>
          <w:rFonts w:hint="eastAsia" w:ascii="方正小标宋_GBK" w:hAnsi="方正小标宋_GBK" w:eastAsia="方正小标宋_GBK" w:cs="方正小标宋_GBK"/>
          <w:sz w:val="44"/>
          <w:szCs w:val="52"/>
        </w:rPr>
        <w:t xml:space="preserve"> </w:t>
      </w:r>
      <w:r>
        <w:rPr>
          <w:rFonts w:hint="eastAsia" w:ascii="方正小标宋_GBK" w:hAnsi="方正小标宋_GBK" w:eastAsia="方正小标宋_GBK" w:cs="方正小标宋_GBK"/>
          <w:sz w:val="44"/>
          <w:szCs w:val="52"/>
          <w:lang w:val="en-US" w:eastAsia="zh-CN"/>
        </w:rPr>
        <w:t xml:space="preserve"> 照亮未来</w:t>
      </w:r>
    </w:p>
    <w:p w14:paraId="55A8550B">
      <w:pPr>
        <w:ind w:firstLine="2240" w:firstLineChars="700"/>
        <w:jc w:val="both"/>
        <w:rPr>
          <w:rFonts w:hint="eastAsia" w:ascii="方正小标宋_GBK" w:hAnsi="方正小标宋_GBK" w:eastAsia="方正小标宋_GBK" w:cs="方正小标宋_GBK"/>
          <w:sz w:val="32"/>
          <w:szCs w:val="40"/>
          <w:lang w:val="en-US" w:eastAsia="zh-CN"/>
        </w:rPr>
      </w:pPr>
      <w:r>
        <w:rPr>
          <w:rFonts w:hint="eastAsia" w:ascii="方正小标宋_GBK" w:hAnsi="方正小标宋_GBK" w:eastAsia="方正小标宋_GBK" w:cs="方正小标宋_GBK"/>
          <w:sz w:val="32"/>
          <w:szCs w:val="40"/>
          <w:lang w:val="en-US" w:eastAsia="zh-CN"/>
        </w:rPr>
        <w:t>--课程实施第一阶段工作计划</w:t>
      </w:r>
    </w:p>
    <w:p w14:paraId="6DB06C3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学校的特色课程体系“阳光五育”指导下，将“阳光立德”德育、“阳光增智”博学、“阳光健体”体育、“阳光育美”艺术、“阳光乐劳”劳动五大课程内容更深入地融入到第一年课程优化的各年段实施计划中。</w:t>
      </w:r>
    </w:p>
    <w:p w14:paraId="527CE24D">
      <w:pPr>
        <w:pStyle w:val="2"/>
        <w:keepNext w:val="0"/>
        <w:keepLines w:val="0"/>
        <w:pageBreakBefore w:val="0"/>
        <w:widowControl/>
        <w:numPr>
          <w:ilvl w:val="0"/>
          <w:numId w:val="1"/>
        </w:numPr>
        <w:suppressLineNumbers w:val="0"/>
        <w:kinsoku/>
        <w:wordWrap/>
        <w:overflowPunct/>
        <w:topLinePunct w:val="0"/>
        <w:autoSpaceDE/>
        <w:autoSpaceDN/>
        <w:bidi w:val="0"/>
        <w:adjustRightInd/>
        <w:snapToGrid/>
        <w:ind w:left="638" w:leftChars="304" w:firstLine="0" w:firstLineChars="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第一阶段目标</w:t>
      </w:r>
    </w:p>
    <w:p w14:paraId="7113ADE1">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textAlignment w:val="auto"/>
        <w:outlineLvl w:val="2"/>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通过本阶段的工作，奠定课程改革的基础，推动课程体系的全面优化，确保学校的“阳光文化”核心理念能够在课程设计中落地生根，构建具有农村学校特色的教育教学模式，全面提升教育教学质量。</w:t>
      </w:r>
    </w:p>
    <w:p w14:paraId="7FCA5E0C">
      <w:pPr>
        <w:pStyle w:val="2"/>
        <w:keepNext w:val="0"/>
        <w:keepLines w:val="0"/>
        <w:pageBreakBefore w:val="0"/>
        <w:widowControl/>
        <w:numPr>
          <w:ilvl w:val="0"/>
          <w:numId w:val="1"/>
        </w:numPr>
        <w:suppressLineNumbers w:val="0"/>
        <w:kinsoku/>
        <w:wordWrap/>
        <w:overflowPunct/>
        <w:topLinePunct w:val="0"/>
        <w:autoSpaceDE/>
        <w:autoSpaceDN/>
        <w:bidi w:val="0"/>
        <w:adjustRightInd/>
        <w:snapToGrid/>
        <w:ind w:left="638" w:leftChars="304" w:firstLine="0" w:firstLineChars="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kern w:val="2"/>
          <w:sz w:val="32"/>
          <w:szCs w:val="32"/>
          <w:lang w:val="en-US" w:eastAsia="zh-CN" w:bidi="ar-SA"/>
        </w:rPr>
        <w:t>第一阶段实施</w:t>
      </w:r>
      <w:r>
        <w:rPr>
          <w:rFonts w:hint="eastAsia" w:ascii="方正仿宋_GBK" w:hAnsi="方正仿宋_GBK" w:eastAsia="方正仿宋_GBK" w:cs="方正仿宋_GBK"/>
          <w:sz w:val="32"/>
          <w:szCs w:val="32"/>
          <w:lang w:eastAsia="zh-CN"/>
        </w:rPr>
        <w:t>（2024.9-2025.</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w:t>
      </w:r>
    </w:p>
    <w:p w14:paraId="257B4EFF">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lang w:eastAsia="zh-CN"/>
        </w:rPr>
        <w:t>）成立课程实施方案制定</w:t>
      </w:r>
      <w:r>
        <w:rPr>
          <w:rFonts w:hint="eastAsia" w:ascii="方正仿宋_GBK" w:hAnsi="方正仿宋_GBK" w:eastAsia="方正仿宋_GBK" w:cs="方正仿宋_GBK"/>
          <w:b/>
          <w:bCs/>
          <w:sz w:val="32"/>
          <w:szCs w:val="32"/>
          <w:lang w:val="en-US" w:eastAsia="zh-CN"/>
        </w:rPr>
        <w:t>领导</w:t>
      </w:r>
      <w:r>
        <w:rPr>
          <w:rFonts w:hint="eastAsia" w:ascii="方正仿宋_GBK" w:hAnsi="方正仿宋_GBK" w:eastAsia="方正仿宋_GBK" w:cs="方正仿宋_GBK"/>
          <w:b/>
          <w:bCs/>
          <w:sz w:val="32"/>
          <w:szCs w:val="32"/>
          <w:lang w:eastAsia="zh-CN"/>
        </w:rPr>
        <w:t>小组</w:t>
      </w:r>
      <w:r>
        <w:rPr>
          <w:rFonts w:hint="eastAsia" w:ascii="方正仿宋_GBK" w:hAnsi="方正仿宋_GBK" w:eastAsia="方正仿宋_GBK" w:cs="方正仿宋_GBK"/>
          <w:b/>
          <w:bCs/>
          <w:sz w:val="32"/>
          <w:szCs w:val="32"/>
          <w:lang w:val="en-US" w:eastAsia="zh-CN"/>
        </w:rPr>
        <w:t>和课程方案制定实施工作</w:t>
      </w:r>
      <w:r>
        <w:rPr>
          <w:rFonts w:hint="eastAsia" w:ascii="方正仿宋_GBK" w:hAnsi="方正仿宋_GBK" w:eastAsia="方正仿宋_GBK" w:cs="方正仿宋_GBK"/>
          <w:b/>
          <w:bCs/>
          <w:sz w:val="32"/>
          <w:szCs w:val="32"/>
          <w:lang w:eastAsia="zh-CN"/>
        </w:rPr>
        <w:t>小组</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lang w:eastAsia="zh-CN"/>
        </w:rPr>
        <w:t>明确职责分工。</w:t>
      </w:r>
    </w:p>
    <w:p w14:paraId="479A68D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在这一阶段，学校将成立一个专门的课程实施方案制定</w:t>
      </w:r>
      <w:r>
        <w:rPr>
          <w:rFonts w:hint="eastAsia" w:ascii="方正仿宋_GBK" w:hAnsi="方正仿宋_GBK" w:eastAsia="方正仿宋_GBK" w:cs="方正仿宋_GBK"/>
          <w:sz w:val="32"/>
          <w:szCs w:val="32"/>
          <w:lang w:val="en-US" w:eastAsia="zh-CN"/>
        </w:rPr>
        <w:t>实施</w:t>
      </w:r>
      <w:r>
        <w:rPr>
          <w:rFonts w:hint="eastAsia" w:ascii="方正仿宋_GBK" w:hAnsi="方正仿宋_GBK" w:eastAsia="方正仿宋_GBK" w:cs="方正仿宋_GBK"/>
          <w:sz w:val="32"/>
          <w:szCs w:val="32"/>
          <w:lang w:eastAsia="zh-CN"/>
        </w:rPr>
        <w:t>工作小组，以保证课程改革的组织协调和高效推进。工作小组的成立及职责分工，具体包括：</w:t>
      </w:r>
    </w:p>
    <w:p w14:paraId="606A561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b/>
          <w:bCs/>
          <w:sz w:val="32"/>
          <w:szCs w:val="32"/>
          <w:lang w:val="en-US" w:eastAsia="zh-CN"/>
        </w:rPr>
        <w:t>课程方案制定领导</w:t>
      </w:r>
      <w:r>
        <w:rPr>
          <w:rFonts w:hint="eastAsia" w:ascii="方正仿宋_GBK" w:hAnsi="方正仿宋_GBK" w:eastAsia="方正仿宋_GBK" w:cs="方正仿宋_GBK"/>
          <w:b/>
          <w:bCs/>
          <w:sz w:val="32"/>
          <w:szCs w:val="32"/>
          <w:lang w:eastAsia="zh-CN"/>
        </w:rPr>
        <w:t>小组：</w:t>
      </w:r>
    </w:p>
    <w:p w14:paraId="2D791014">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组  长：</w:t>
      </w:r>
      <w:r>
        <w:rPr>
          <w:rFonts w:hint="eastAsia" w:ascii="方正仿宋_GBK" w:hAnsi="方正仿宋_GBK" w:eastAsia="方正仿宋_GBK" w:cs="方正仿宋_GBK"/>
          <w:sz w:val="32"/>
          <w:szCs w:val="32"/>
          <w:lang w:val="en-US" w:eastAsia="zh-CN"/>
        </w:rPr>
        <w:t xml:space="preserve">夏秋容  </w:t>
      </w:r>
      <w:r>
        <w:rPr>
          <w:rFonts w:hint="eastAsia" w:ascii="方正仿宋_GBK" w:hAnsi="方正仿宋_GBK" w:eastAsia="方正仿宋_GBK" w:cs="方正仿宋_GBK"/>
          <w:sz w:val="32"/>
          <w:szCs w:val="32"/>
          <w:lang w:eastAsia="zh-CN"/>
        </w:rPr>
        <w:t>垫江县澄溪小学</w:t>
      </w:r>
      <w:r>
        <w:rPr>
          <w:rFonts w:hint="eastAsia" w:ascii="方正仿宋_GBK" w:hAnsi="方正仿宋_GBK" w:eastAsia="方正仿宋_GBK" w:cs="方正仿宋_GBK"/>
          <w:sz w:val="32"/>
          <w:szCs w:val="32"/>
          <w:lang w:val="en-US" w:eastAsia="zh-CN"/>
        </w:rPr>
        <w:t>校教学副校长</w:t>
      </w:r>
    </w:p>
    <w:p w14:paraId="36AF7C00">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副组长：</w:t>
      </w:r>
      <w:r>
        <w:rPr>
          <w:rFonts w:hint="eastAsia" w:ascii="方正仿宋_GBK" w:hAnsi="方正仿宋_GBK" w:eastAsia="方正仿宋_GBK" w:cs="方正仿宋_GBK"/>
          <w:sz w:val="32"/>
          <w:szCs w:val="32"/>
          <w:lang w:eastAsia="zh-CN"/>
        </w:rPr>
        <w:t>罗成健  垫江县澄溪小学</w:t>
      </w:r>
      <w:r>
        <w:rPr>
          <w:rFonts w:hint="eastAsia" w:ascii="方正仿宋_GBK" w:hAnsi="方正仿宋_GBK" w:eastAsia="方正仿宋_GBK" w:cs="方正仿宋_GBK"/>
          <w:sz w:val="32"/>
          <w:szCs w:val="32"/>
          <w:lang w:val="en-US" w:eastAsia="zh-CN"/>
        </w:rPr>
        <w:t>校</w:t>
      </w:r>
      <w:r>
        <w:rPr>
          <w:rFonts w:hint="eastAsia" w:ascii="方正仿宋_GBK" w:hAnsi="方正仿宋_GBK" w:eastAsia="方正仿宋_GBK" w:cs="方正仿宋_GBK"/>
          <w:sz w:val="32"/>
          <w:szCs w:val="32"/>
          <w:lang w:eastAsia="zh-CN"/>
        </w:rPr>
        <w:t>教务处主任</w:t>
      </w:r>
    </w:p>
    <w:p w14:paraId="34D9831B">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成  员：</w:t>
      </w:r>
    </w:p>
    <w:p w14:paraId="4BCFEF8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冯  静  </w:t>
      </w:r>
      <w:r>
        <w:rPr>
          <w:rFonts w:hint="eastAsia" w:ascii="方正仿宋_GBK" w:hAnsi="方正仿宋_GBK" w:eastAsia="方正仿宋_GBK" w:cs="方正仿宋_GBK"/>
          <w:sz w:val="32"/>
          <w:szCs w:val="32"/>
          <w:lang w:eastAsia="zh-CN"/>
        </w:rPr>
        <w:t>垫江县澄溪小学</w:t>
      </w:r>
      <w:r>
        <w:rPr>
          <w:rFonts w:hint="eastAsia" w:ascii="方正仿宋_GBK" w:hAnsi="方正仿宋_GBK" w:eastAsia="方正仿宋_GBK" w:cs="方正仿宋_GBK"/>
          <w:sz w:val="32"/>
          <w:szCs w:val="32"/>
          <w:lang w:val="en-US" w:eastAsia="zh-CN"/>
        </w:rPr>
        <w:t>六年级六年级年级组长</w:t>
      </w:r>
    </w:p>
    <w:p w14:paraId="76E3483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游丽兰  </w:t>
      </w:r>
      <w:r>
        <w:rPr>
          <w:rFonts w:hint="eastAsia" w:ascii="方正仿宋_GBK" w:hAnsi="方正仿宋_GBK" w:eastAsia="方正仿宋_GBK" w:cs="方正仿宋_GBK"/>
          <w:sz w:val="32"/>
          <w:szCs w:val="32"/>
          <w:lang w:eastAsia="zh-CN"/>
        </w:rPr>
        <w:t>垫江县澄溪小学</w:t>
      </w:r>
      <w:r>
        <w:rPr>
          <w:rFonts w:hint="eastAsia" w:ascii="方正仿宋_GBK" w:hAnsi="方正仿宋_GBK" w:eastAsia="方正仿宋_GBK" w:cs="方正仿宋_GBK"/>
          <w:sz w:val="32"/>
          <w:szCs w:val="32"/>
          <w:lang w:val="en-US" w:eastAsia="zh-CN"/>
        </w:rPr>
        <w:t>六年级四年级年级组长</w:t>
      </w:r>
    </w:p>
    <w:p w14:paraId="1F95538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李春芳  </w:t>
      </w:r>
      <w:r>
        <w:rPr>
          <w:rFonts w:hint="eastAsia" w:ascii="方正仿宋_GBK" w:hAnsi="方正仿宋_GBK" w:eastAsia="方正仿宋_GBK" w:cs="方正仿宋_GBK"/>
          <w:sz w:val="32"/>
          <w:szCs w:val="32"/>
          <w:lang w:eastAsia="zh-CN"/>
        </w:rPr>
        <w:t>垫江县澄溪小学</w:t>
      </w:r>
      <w:r>
        <w:rPr>
          <w:rFonts w:hint="eastAsia" w:ascii="方正仿宋_GBK" w:hAnsi="方正仿宋_GBK" w:eastAsia="方正仿宋_GBK" w:cs="方正仿宋_GBK"/>
          <w:sz w:val="32"/>
          <w:szCs w:val="32"/>
          <w:lang w:val="en-US" w:eastAsia="zh-CN"/>
        </w:rPr>
        <w:t>六年级三年级年级组长</w:t>
      </w:r>
    </w:p>
    <w:p w14:paraId="13B99FE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陈应明  </w:t>
      </w:r>
      <w:r>
        <w:rPr>
          <w:rFonts w:hint="eastAsia" w:ascii="方正仿宋_GBK" w:hAnsi="方正仿宋_GBK" w:eastAsia="方正仿宋_GBK" w:cs="方正仿宋_GBK"/>
          <w:sz w:val="32"/>
          <w:szCs w:val="32"/>
          <w:lang w:eastAsia="zh-CN"/>
        </w:rPr>
        <w:t>垫江县澄溪小学</w:t>
      </w:r>
      <w:r>
        <w:rPr>
          <w:rFonts w:hint="eastAsia" w:ascii="方正仿宋_GBK" w:hAnsi="方正仿宋_GBK" w:eastAsia="方正仿宋_GBK" w:cs="方正仿宋_GBK"/>
          <w:sz w:val="32"/>
          <w:szCs w:val="32"/>
          <w:lang w:val="en-US" w:eastAsia="zh-CN"/>
        </w:rPr>
        <w:t>六年级五年级年级组长</w:t>
      </w:r>
    </w:p>
    <w:p w14:paraId="5CEF8F3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谭  丽</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垫江县澄溪小学</w:t>
      </w:r>
      <w:r>
        <w:rPr>
          <w:rFonts w:hint="eastAsia" w:ascii="方正仿宋_GBK" w:hAnsi="方正仿宋_GBK" w:eastAsia="方正仿宋_GBK" w:cs="方正仿宋_GBK"/>
          <w:sz w:val="32"/>
          <w:szCs w:val="32"/>
          <w:lang w:val="en-US" w:eastAsia="zh-CN"/>
        </w:rPr>
        <w:t>六年级语文骨干教师</w:t>
      </w:r>
    </w:p>
    <w:p w14:paraId="570E597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外部咨询专家</w:t>
      </w:r>
    </w:p>
    <w:p w14:paraId="24B90D7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课程方案制定领导</w:t>
      </w:r>
      <w:r>
        <w:rPr>
          <w:rFonts w:hint="eastAsia" w:ascii="方正仿宋_GBK" w:hAnsi="方正仿宋_GBK" w:eastAsia="方正仿宋_GBK" w:cs="方正仿宋_GBK"/>
          <w:sz w:val="32"/>
          <w:szCs w:val="32"/>
          <w:lang w:eastAsia="zh-CN"/>
        </w:rPr>
        <w:t>小组的组成：</w:t>
      </w:r>
      <w:r>
        <w:rPr>
          <w:rFonts w:hint="eastAsia" w:ascii="方正仿宋_GBK" w:hAnsi="方正仿宋_GBK" w:eastAsia="方正仿宋_GBK" w:cs="方正仿宋_GBK"/>
          <w:sz w:val="32"/>
          <w:szCs w:val="32"/>
          <w:lang w:val="en-US" w:eastAsia="zh-CN"/>
        </w:rPr>
        <w:t>领导</w:t>
      </w:r>
      <w:r>
        <w:rPr>
          <w:rFonts w:hint="eastAsia" w:ascii="方正仿宋_GBK" w:hAnsi="方正仿宋_GBK" w:eastAsia="方正仿宋_GBK" w:cs="方正仿宋_GBK"/>
          <w:sz w:val="32"/>
          <w:szCs w:val="32"/>
          <w:lang w:eastAsia="zh-CN"/>
        </w:rPr>
        <w:t>小组将由学校领导、</w:t>
      </w:r>
      <w:r>
        <w:rPr>
          <w:rFonts w:hint="eastAsia" w:ascii="方正仿宋_GBK" w:hAnsi="方正仿宋_GBK" w:eastAsia="方正仿宋_GBK" w:cs="方正仿宋_GBK"/>
          <w:sz w:val="32"/>
          <w:szCs w:val="32"/>
          <w:lang w:val="en-US" w:eastAsia="zh-CN"/>
        </w:rPr>
        <w:t>年级组长、</w:t>
      </w:r>
      <w:r>
        <w:rPr>
          <w:rFonts w:hint="eastAsia" w:ascii="方正仿宋_GBK" w:hAnsi="方正仿宋_GBK" w:eastAsia="方正仿宋_GBK" w:cs="方正仿宋_GBK"/>
          <w:sz w:val="32"/>
          <w:szCs w:val="32"/>
          <w:lang w:eastAsia="zh-CN"/>
        </w:rPr>
        <w:t>学科骨干教师以及外部咨询专家等组成。小组成员应具有丰富的教育经验、课程设计能力、教育管理能力以及信息技术应用能力，确保课程方案制定的多样性和全面性。</w:t>
      </w:r>
    </w:p>
    <w:p w14:paraId="224B207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b/>
          <w:bCs/>
          <w:sz w:val="32"/>
          <w:szCs w:val="32"/>
          <w:lang w:val="en-US" w:eastAsia="zh-CN"/>
        </w:rPr>
        <w:t>课程方案制定实施工作</w:t>
      </w:r>
      <w:r>
        <w:rPr>
          <w:rFonts w:hint="eastAsia" w:ascii="方正仿宋_GBK" w:hAnsi="方正仿宋_GBK" w:eastAsia="方正仿宋_GBK" w:cs="方正仿宋_GBK"/>
          <w:b/>
          <w:bCs/>
          <w:sz w:val="32"/>
          <w:szCs w:val="32"/>
          <w:lang w:eastAsia="zh-CN"/>
        </w:rPr>
        <w:t>小组</w:t>
      </w:r>
    </w:p>
    <w:p w14:paraId="0587D7B6">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组  长: 罗成健</w:t>
      </w:r>
    </w:p>
    <w:p w14:paraId="36434B78">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副组长：冯  静、谭  丽</w:t>
      </w:r>
    </w:p>
    <w:p w14:paraId="4FB94607">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课程组成员:</w:t>
      </w:r>
    </w:p>
    <w:p w14:paraId="26146F0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“阳光立德”育德课程</w:t>
      </w:r>
      <w:r>
        <w:rPr>
          <w:rFonts w:hint="eastAsia" w:ascii="方正仿宋_GBK" w:hAnsi="方正仿宋_GBK" w:eastAsia="方正仿宋_GBK" w:cs="方正仿宋_GBK"/>
          <w:sz w:val="32"/>
          <w:szCs w:val="32"/>
          <w:lang w:val="en-US" w:eastAsia="zh-CN"/>
        </w:rPr>
        <w:t>组成员：</w:t>
      </w:r>
    </w:p>
    <w:p w14:paraId="0CB719AA">
      <w:pPr>
        <w:keepNext w:val="0"/>
        <w:keepLines w:val="0"/>
        <w:pageBreakBefore w:val="0"/>
        <w:widowControl w:val="0"/>
        <w:kinsoku/>
        <w:wordWrap/>
        <w:overflowPunct/>
        <w:topLinePunct w:val="0"/>
        <w:autoSpaceDE/>
        <w:autoSpaceDN/>
        <w:bidi w:val="0"/>
        <w:adjustRightInd/>
        <w:snapToGrid/>
        <w:spacing w:line="572" w:lineRule="exact"/>
        <w:ind w:left="638" w:leftChars="304"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FF"/>
          <w:sz w:val="32"/>
          <w:szCs w:val="32"/>
          <w:lang w:val="en-US" w:eastAsia="zh-CN"/>
        </w:rPr>
        <w:t>谭  丽、朱富秋、冉小艳</w:t>
      </w:r>
      <w:r>
        <w:rPr>
          <w:rFonts w:hint="eastAsia" w:ascii="方正仿宋_GBK" w:hAnsi="方正仿宋_GBK" w:eastAsia="方正仿宋_GBK" w:cs="方正仿宋_GBK"/>
          <w:color w:val="0000FF"/>
          <w:sz w:val="32"/>
          <w:szCs w:val="32"/>
          <w:lang w:eastAsia="zh-CN"/>
        </w:rPr>
        <w:t xml:space="preserve"> 、</w:t>
      </w:r>
      <w:r>
        <w:rPr>
          <w:rFonts w:hint="eastAsia" w:ascii="方正仿宋_GBK" w:hAnsi="方正仿宋_GBK" w:eastAsia="方正仿宋_GBK" w:cs="方正仿宋_GBK"/>
          <w:color w:val="0000FF"/>
          <w:sz w:val="32"/>
          <w:szCs w:val="32"/>
          <w:lang w:val="en-US" w:eastAsia="zh-CN"/>
        </w:rPr>
        <w:t>高欣、纪娜及全体班主任</w:t>
      </w:r>
      <w:r>
        <w:rPr>
          <w:rFonts w:hint="eastAsia" w:ascii="方正仿宋_GBK" w:hAnsi="方正仿宋_GBK" w:eastAsia="方正仿宋_GBK" w:cs="方正仿宋_GBK"/>
          <w:sz w:val="32"/>
          <w:szCs w:val="32"/>
          <w:lang w:eastAsia="zh-CN"/>
        </w:rPr>
        <w:t>“阳光增智”博学课程</w:t>
      </w:r>
      <w:r>
        <w:rPr>
          <w:rFonts w:hint="eastAsia" w:ascii="方正仿宋_GBK" w:hAnsi="方正仿宋_GBK" w:eastAsia="方正仿宋_GBK" w:cs="方正仿宋_GBK"/>
          <w:sz w:val="32"/>
          <w:szCs w:val="32"/>
          <w:lang w:val="en-US" w:eastAsia="zh-CN"/>
        </w:rPr>
        <w:t>组成员：</w:t>
      </w:r>
    </w:p>
    <w:p w14:paraId="1C2C110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方正仿宋_GBK" w:hAnsi="方正仿宋_GBK" w:eastAsia="方正仿宋_GBK" w:cs="方正仿宋_GBK"/>
          <w:color w:val="0000FF"/>
          <w:sz w:val="32"/>
          <w:szCs w:val="32"/>
          <w:lang w:val="en-US" w:eastAsia="zh-CN"/>
        </w:rPr>
      </w:pPr>
      <w:r>
        <w:rPr>
          <w:rFonts w:hint="eastAsia" w:ascii="方正仿宋_GBK" w:hAnsi="方正仿宋_GBK" w:eastAsia="方正仿宋_GBK" w:cs="方正仿宋_GBK"/>
          <w:color w:val="0000FF"/>
          <w:sz w:val="32"/>
          <w:szCs w:val="32"/>
          <w:lang w:val="en-US" w:eastAsia="zh-CN"/>
        </w:rPr>
        <w:t>冯  静、郑霞、郎  举、陈瑶、李禄容、冷海燕、谭盼、严建明、殷姣、王俊杰、王琼、卢婕妤、游丽兰、陈丹、袁燕、曾美玲、谭丽、黄之妍、朱晓琴、吴  锋 龙  锐   谢光太、洪剑</w:t>
      </w:r>
    </w:p>
    <w:p w14:paraId="489CA40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“阳光健体”体育课程组成员：</w:t>
      </w:r>
    </w:p>
    <w:p w14:paraId="304E65B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方正仿宋_GBK" w:hAnsi="方正仿宋_GBK" w:eastAsia="方正仿宋_GBK" w:cs="方正仿宋_GBK"/>
          <w:color w:val="0000FF"/>
          <w:sz w:val="32"/>
          <w:szCs w:val="32"/>
          <w:lang w:val="en-US" w:eastAsia="zh-CN"/>
        </w:rPr>
      </w:pPr>
      <w:r>
        <w:rPr>
          <w:rFonts w:hint="eastAsia" w:ascii="方正仿宋_GBK" w:hAnsi="方正仿宋_GBK" w:eastAsia="方正仿宋_GBK" w:cs="方正仿宋_GBK"/>
          <w:color w:val="0000FF"/>
          <w:sz w:val="32"/>
          <w:szCs w:val="32"/>
          <w:lang w:val="en-US" w:eastAsia="zh-CN"/>
        </w:rPr>
        <w:t>陈有旭、曹江玉  殷一林、冉小艳、曾思嘉</w:t>
      </w:r>
    </w:p>
    <w:p w14:paraId="25865BD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“阳光育美”艺术课程组成员： </w:t>
      </w:r>
    </w:p>
    <w:p w14:paraId="44B228C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color w:val="0000FF"/>
          <w:sz w:val="32"/>
          <w:szCs w:val="32"/>
          <w:lang w:val="en-US" w:eastAsia="zh-CN"/>
        </w:rPr>
      </w:pPr>
      <w:r>
        <w:rPr>
          <w:rFonts w:hint="eastAsia" w:ascii="方正仿宋_GBK" w:hAnsi="方正仿宋_GBK" w:eastAsia="方正仿宋_GBK" w:cs="方正仿宋_GBK"/>
          <w:color w:val="0000FF"/>
          <w:sz w:val="32"/>
          <w:szCs w:val="32"/>
          <w:lang w:val="en-US" w:eastAsia="zh-CN"/>
        </w:rPr>
        <w:t xml:space="preserve">李春芳 吴正勇  刘森梅   周  媛  宦  欣、胡晓凤  刘 静  甘沛灵 </w:t>
      </w:r>
    </w:p>
    <w:p w14:paraId="3727F6C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color w:val="0000FF"/>
          <w:sz w:val="32"/>
          <w:szCs w:val="32"/>
          <w:lang w:val="en-US" w:eastAsia="zh-CN"/>
        </w:rPr>
      </w:pPr>
      <w:r>
        <w:rPr>
          <w:rFonts w:hint="eastAsia" w:ascii="方正仿宋_GBK" w:hAnsi="方正仿宋_GBK" w:eastAsia="方正仿宋_GBK" w:cs="方正仿宋_GBK"/>
          <w:sz w:val="32"/>
          <w:szCs w:val="32"/>
          <w:lang w:val="en-US" w:eastAsia="zh-CN"/>
        </w:rPr>
        <w:t>“阳光乐劳”劳动课程组成员：</w:t>
      </w:r>
      <w:r>
        <w:rPr>
          <w:rFonts w:hint="eastAsia" w:ascii="方正仿宋_GBK" w:hAnsi="方正仿宋_GBK" w:eastAsia="方正仿宋_GBK" w:cs="方正仿宋_GBK"/>
          <w:color w:val="0000FF"/>
          <w:sz w:val="32"/>
          <w:szCs w:val="32"/>
          <w:lang w:val="en-US" w:eastAsia="zh-CN"/>
        </w:rPr>
        <w:t xml:space="preserve">李强、黄之妍  蔡小红、 杨 凤、李琼 、 任连翠、余清秀、夏镯芯 </w:t>
      </w:r>
    </w:p>
    <w:p w14:paraId="526F8A0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FF"/>
          <w:sz w:val="32"/>
          <w:szCs w:val="32"/>
          <w:lang w:val="en-US" w:eastAsia="zh-CN"/>
        </w:rPr>
        <w:t xml:space="preserve"> </w:t>
      </w:r>
      <w:r>
        <w:rPr>
          <w:rFonts w:hint="eastAsia" w:ascii="方正仿宋_GBK" w:hAnsi="方正仿宋_GBK" w:eastAsia="方正仿宋_GBK" w:cs="方正仿宋_GBK"/>
          <w:sz w:val="32"/>
          <w:szCs w:val="32"/>
          <w:lang w:val="en-US" w:eastAsia="zh-CN"/>
        </w:rPr>
        <w:t>课程方案制定实施工作</w:t>
      </w:r>
      <w:r>
        <w:rPr>
          <w:rFonts w:hint="eastAsia" w:ascii="方正仿宋_GBK" w:hAnsi="方正仿宋_GBK" w:eastAsia="方正仿宋_GBK" w:cs="方正仿宋_GBK"/>
          <w:sz w:val="32"/>
          <w:szCs w:val="32"/>
          <w:lang w:eastAsia="zh-CN"/>
        </w:rPr>
        <w:t>小组</w:t>
      </w:r>
      <w:r>
        <w:rPr>
          <w:rFonts w:hint="eastAsia" w:ascii="方正仿宋_GBK" w:hAnsi="方正仿宋_GBK" w:eastAsia="方正仿宋_GBK" w:cs="方正仿宋_GBK"/>
          <w:sz w:val="32"/>
          <w:szCs w:val="32"/>
          <w:lang w:val="en-US" w:eastAsia="zh-CN"/>
        </w:rPr>
        <w:t>的组成：</w:t>
      </w:r>
      <w:r>
        <w:rPr>
          <w:rFonts w:hint="eastAsia" w:ascii="方正仿宋_GBK" w:hAnsi="方正仿宋_GBK" w:eastAsia="方正仿宋_GBK" w:cs="方正仿宋_GBK"/>
          <w:sz w:val="32"/>
          <w:szCs w:val="32"/>
          <w:lang w:eastAsia="zh-CN"/>
        </w:rPr>
        <w:t>工作小组将由学校</w:t>
      </w:r>
      <w:r>
        <w:rPr>
          <w:rFonts w:hint="eastAsia" w:ascii="方正仿宋_GBK" w:hAnsi="方正仿宋_GBK" w:eastAsia="方正仿宋_GBK" w:cs="方正仿宋_GBK"/>
          <w:sz w:val="32"/>
          <w:szCs w:val="32"/>
          <w:lang w:val="en-US" w:eastAsia="zh-CN"/>
        </w:rPr>
        <w:t>教改实验课程项目负责人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学科组长、</w:t>
      </w:r>
      <w:r>
        <w:rPr>
          <w:rFonts w:hint="eastAsia" w:ascii="方正仿宋_GBK" w:hAnsi="方正仿宋_GBK" w:eastAsia="方正仿宋_GBK" w:cs="方正仿宋_GBK"/>
          <w:sz w:val="32"/>
          <w:szCs w:val="32"/>
          <w:lang w:eastAsia="zh-CN"/>
        </w:rPr>
        <w:t>学科骨干教师等组成。</w:t>
      </w:r>
    </w:p>
    <w:p w14:paraId="3A5ADBC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明确职责分工：小组内部会明确分工，确保每个成员都能根据自身的专业背景和职责完成相关任务。学校领导负责整体规划和资源支持，协调各方力量，确保工作顺利推进；</w:t>
      </w:r>
    </w:p>
    <w:p w14:paraId="0747F22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科骨干教师负责结合学科特点，提出具体的课程优化和教学方法设计；教育专家负责课程理念、目标设定和方案的理论依据，提出针对性建议。通过明确的分工和协调合作，确保课程实施方案制定的高效性和科学性。</w:t>
      </w:r>
    </w:p>
    <w:p w14:paraId="67EC00FC">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lang w:eastAsia="zh-CN"/>
        </w:rPr>
        <w:t>开展深入调研与分析，明确课程设计理念与方向。</w:t>
      </w:r>
    </w:p>
    <w:p w14:paraId="1CA254F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结合学校的特色课程和现有成果，</w:t>
      </w:r>
      <w:r>
        <w:rPr>
          <w:rFonts w:hint="eastAsia" w:ascii="方正仿宋_GBK" w:hAnsi="方正仿宋_GBK" w:eastAsia="方正仿宋_GBK" w:cs="方正仿宋_GBK"/>
          <w:sz w:val="32"/>
          <w:szCs w:val="32"/>
          <w:lang w:val="en-US" w:eastAsia="zh-CN"/>
        </w:rPr>
        <w:t>通过</w:t>
      </w:r>
      <w:r>
        <w:rPr>
          <w:rFonts w:hint="eastAsia" w:ascii="方正仿宋_GBK" w:hAnsi="方正仿宋_GBK" w:eastAsia="方正仿宋_GBK" w:cs="方正仿宋_GBK"/>
          <w:sz w:val="32"/>
          <w:szCs w:val="32"/>
          <w:lang w:eastAsia="zh-CN"/>
        </w:rPr>
        <w:t>了解学生、教师和家长的需求，分析现有课程体系与人才培养目标的契合度，识别存在的问题与不足深入调研与分析，进一步明确课程设计理念，坚持以学生为中心，注重学生核心素养的培养。</w:t>
      </w:r>
    </w:p>
    <w:p w14:paraId="5DE855C2">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lang w:eastAsia="zh-CN"/>
        </w:rPr>
        <w:t>学生需求调研：</w:t>
      </w:r>
      <w:r>
        <w:rPr>
          <w:rFonts w:hint="eastAsia" w:ascii="方正仿宋_GBK" w:hAnsi="方正仿宋_GBK" w:eastAsia="方正仿宋_GBK" w:cs="方正仿宋_GBK"/>
          <w:sz w:val="32"/>
          <w:szCs w:val="32"/>
          <w:lang w:eastAsia="zh-CN"/>
        </w:rPr>
        <w:t>通过问卷调查、座谈会、访谈等形式，收集学生的学习需求、兴趣爱好、学习习惯等信息，了解学生对课程内容、教学方式、学习方式的期望。这些信息将帮助课程设计者了解学生的个性化需求，确保课程内容能更好地适应学生的兴趣和发展需求。</w:t>
      </w:r>
    </w:p>
    <w:p w14:paraId="2E080775">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lang w:eastAsia="zh-CN"/>
        </w:rPr>
        <w:t>教师调研：</w:t>
      </w:r>
      <w:r>
        <w:rPr>
          <w:rFonts w:hint="eastAsia" w:ascii="方正仿宋_GBK" w:hAnsi="方正仿宋_GBK" w:eastAsia="方正仿宋_GBK" w:cs="方正仿宋_GBK"/>
          <w:sz w:val="32"/>
          <w:szCs w:val="32"/>
          <w:lang w:eastAsia="zh-CN"/>
        </w:rPr>
        <w:t>通过教师座谈会、问卷调查和教学访谈等方式，了解教师对当前课程体系的看法，分析教师在实际教学中遇到的困难、课程内容的薄弱环节，以及他们对教学方法和资源的需求。教师的反馈将为课程改革提供宝贵的第一手资料。</w:t>
      </w:r>
    </w:p>
    <w:p w14:paraId="57C74D13">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b/>
          <w:bCs/>
          <w:sz w:val="32"/>
          <w:szCs w:val="32"/>
          <w:lang w:eastAsia="zh-CN"/>
        </w:rPr>
        <w:t>家长调研：</w:t>
      </w:r>
      <w:r>
        <w:rPr>
          <w:rFonts w:hint="eastAsia" w:ascii="方正仿宋_GBK" w:hAnsi="方正仿宋_GBK" w:eastAsia="方正仿宋_GBK" w:cs="方正仿宋_GBK"/>
          <w:sz w:val="32"/>
          <w:szCs w:val="32"/>
          <w:lang w:eastAsia="zh-CN"/>
        </w:rPr>
        <w:t>家长是教育过程的重要参与者，其对孩子教育的期望和关注点也应当纳入考虑。通过家长会、问卷调查等方式，收集家长对课程内容、课程难度、课外活动等方面的意见和建议。</w:t>
      </w:r>
    </w:p>
    <w:p w14:paraId="607AEF5E">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4.</w:t>
      </w:r>
      <w:r>
        <w:rPr>
          <w:rFonts w:hint="eastAsia" w:ascii="方正仿宋_GBK" w:hAnsi="方正仿宋_GBK" w:eastAsia="方正仿宋_GBK" w:cs="方正仿宋_GBK"/>
          <w:b/>
          <w:bCs/>
          <w:sz w:val="32"/>
          <w:szCs w:val="32"/>
          <w:lang w:eastAsia="zh-CN"/>
        </w:rPr>
        <w:t>分析现有课程体系：</w:t>
      </w:r>
      <w:r>
        <w:rPr>
          <w:rFonts w:hint="eastAsia" w:ascii="方正仿宋_GBK" w:hAnsi="方正仿宋_GBK" w:eastAsia="方正仿宋_GBK" w:cs="方正仿宋_GBK"/>
          <w:sz w:val="32"/>
          <w:szCs w:val="32"/>
          <w:lang w:eastAsia="zh-CN"/>
        </w:rPr>
        <w:t>对现行的国家课程、地方课程和校本课程进行全面评估，分析其优势和不足，明确需要优化的地方，</w:t>
      </w:r>
      <w:r>
        <w:rPr>
          <w:rFonts w:hint="eastAsia" w:ascii="方正仿宋_GBK" w:hAnsi="方正仿宋_GBK" w:eastAsia="方正仿宋_GBK" w:cs="方正仿宋_GBK"/>
          <w:sz w:val="32"/>
          <w:szCs w:val="32"/>
          <w:lang w:val="en-US" w:eastAsia="zh-CN"/>
        </w:rPr>
        <w:t>以</w:t>
      </w:r>
      <w:r>
        <w:rPr>
          <w:rFonts w:hint="eastAsia" w:ascii="方正仿宋_GBK" w:hAnsi="方正仿宋_GBK" w:eastAsia="方正仿宋_GBK" w:cs="方正仿宋_GBK"/>
          <w:sz w:val="32"/>
          <w:szCs w:val="32"/>
          <w:lang w:eastAsia="zh-CN"/>
        </w:rPr>
        <w:t>确保新课程能够更加贴合学生的成长需求和教育发展的趋势。</w:t>
      </w:r>
    </w:p>
    <w:p w14:paraId="183EEBAC">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lang w:eastAsia="zh-CN"/>
        </w:rPr>
        <w:t>制定课程实施方案初稿，包括国家课程、地方课程和校本课程的优化与开发。</w:t>
      </w:r>
    </w:p>
    <w:p w14:paraId="0EB465D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在完成调研和分析后，工作小组将根据调研结果，制定课程实施方案初稿。</w:t>
      </w:r>
    </w:p>
    <w:p w14:paraId="542A0966">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1.基础类课程</w:t>
      </w:r>
      <w:r>
        <w:rPr>
          <w:rFonts w:hint="eastAsia" w:ascii="方正仿宋_GBK" w:hAnsi="方正仿宋_GBK" w:eastAsia="方正仿宋_GBK" w:cs="方正仿宋_GBK"/>
          <w:sz w:val="32"/>
          <w:szCs w:val="32"/>
          <w:lang w:val="en-US" w:eastAsia="zh-CN"/>
        </w:rPr>
        <w:t>——优化整合，探索基础课程实施的最优化路径一是整合，主要针对地方课程的内容。地方课程在教学内容上有互相重复或者与国家课程相重复的地方，在实施的过程中，我们将相似、相关联的教学内容进行整合，节省下来的课时用于拓展类课程的学习。二是优化，主要针对国家课程教学内容。语文采取精选、精讲的策略，在文章的选取上每个单元结合教材内容精选文章，增加学生阅读量；数学采取调整、合并策略，在课程内容的安排上适当调整部分单元的学习顺序，将同类知识单元进行合并，使更加符合学生学习基础和学习规律。</w:t>
      </w:r>
    </w:p>
    <w:p w14:paraId="368A4F89">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lang w:eastAsia="zh-CN"/>
        </w:rPr>
        <w:t>地方课程的开发与本土化</w:t>
      </w:r>
      <w:r>
        <w:rPr>
          <w:rFonts w:hint="eastAsia" w:ascii="方正仿宋_GBK" w:hAnsi="方正仿宋_GBK" w:eastAsia="方正仿宋_GBK" w:cs="方正仿宋_GBK"/>
          <w:sz w:val="32"/>
          <w:szCs w:val="32"/>
          <w:lang w:eastAsia="zh-CN"/>
        </w:rPr>
        <w:t>：地方课程是根据当地的文化、历史、经济、地理等特点进行的课程设计。在这一阶段，学校将根据本地的特色，优化和调整现有的地方课程内容，注重与当地社会资源的对接，</w:t>
      </w:r>
      <w:r>
        <w:rPr>
          <w:rFonts w:hint="eastAsia" w:ascii="方正仿宋_GBK" w:hAnsi="方正仿宋_GBK" w:eastAsia="方正仿宋_GBK" w:cs="方正仿宋_GBK"/>
          <w:sz w:val="32"/>
          <w:szCs w:val="32"/>
          <w:lang w:val="en-US" w:eastAsia="zh-CN"/>
        </w:rPr>
        <w:t>做到与国家课程有效整合，保证课程内容的系统性、连贯性，旨在发展学生兴趣特长，满足学生的个性化发展需求。</w:t>
      </w:r>
    </w:p>
    <w:p w14:paraId="71D4ADE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校本课程的优化与个性化开发：校本课程是学校根据自身特色和发展需求自主开发的课程。在这一阶段，学校将进一步丰富和优化校本课程，结合学生的兴趣爱好和个性化发展需求，</w:t>
      </w:r>
      <w:r>
        <w:rPr>
          <w:rFonts w:hint="eastAsia" w:ascii="方正仿宋_GBK" w:hAnsi="方正仿宋_GBK" w:eastAsia="方正仿宋_GBK" w:cs="方正仿宋_GBK"/>
          <w:sz w:val="32"/>
          <w:szCs w:val="32"/>
          <w:lang w:val="en-US" w:eastAsia="zh-CN"/>
        </w:rPr>
        <w:t>继续</w:t>
      </w:r>
      <w:r>
        <w:rPr>
          <w:rFonts w:hint="eastAsia" w:ascii="方正仿宋_GBK" w:hAnsi="方正仿宋_GBK" w:eastAsia="方正仿宋_GBK" w:cs="方正仿宋_GBK"/>
          <w:sz w:val="32"/>
          <w:szCs w:val="32"/>
          <w:lang w:eastAsia="zh-CN"/>
        </w:rPr>
        <w:t>开发富有创意和实践性的“</w:t>
      </w:r>
      <w:r>
        <w:rPr>
          <w:rFonts w:hint="eastAsia" w:ascii="方正仿宋_GBK" w:hAnsi="方正仿宋_GBK" w:eastAsia="方正仿宋_GBK" w:cs="方正仿宋_GBK"/>
          <w:sz w:val="32"/>
          <w:szCs w:val="32"/>
          <w:lang w:val="en-US" w:eastAsia="zh-CN"/>
        </w:rPr>
        <w:t>五彩阳光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校本课程</w:t>
      </w:r>
      <w:r>
        <w:rPr>
          <w:rFonts w:hint="eastAsia" w:ascii="方正仿宋_GBK" w:hAnsi="方正仿宋_GBK" w:eastAsia="方正仿宋_GBK" w:cs="方正仿宋_GBK"/>
          <w:sz w:val="32"/>
          <w:szCs w:val="32"/>
          <w:lang w:eastAsia="zh-CN"/>
        </w:rPr>
        <w:t>内容，这些课程将强化学生的动手能力、实践能力和创新能力，同时也能发挥学校的特色优势。</w:t>
      </w:r>
      <w:r>
        <w:rPr>
          <w:rFonts w:hint="eastAsia" w:ascii="方正仿宋_GBK" w:hAnsi="方正仿宋_GBK" w:eastAsia="方正仿宋_GBK" w:cs="方正仿宋_GBK"/>
          <w:sz w:val="32"/>
          <w:szCs w:val="32"/>
          <w:lang w:val="en-US" w:eastAsia="zh-CN"/>
        </w:rPr>
        <w:t>同时也</w:t>
      </w:r>
      <w:r>
        <w:rPr>
          <w:rFonts w:hint="eastAsia" w:ascii="方正仿宋_GBK" w:hAnsi="方正仿宋_GBK" w:eastAsia="方正仿宋_GBK" w:cs="方正仿宋_GBK"/>
          <w:sz w:val="32"/>
          <w:szCs w:val="32"/>
          <w:lang w:eastAsia="zh-CN"/>
        </w:rPr>
        <w:t>加强课程评价与反馈机制，收集学生、教师、家长的意见，及时调整教学内容与方法，促进教学质量的持续改进。</w:t>
      </w:r>
    </w:p>
    <w:p w14:paraId="51E21E73">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lang w:eastAsia="zh-CN"/>
        </w:rPr>
        <w:t>组织专家评审与论证，收集意见与建议，对初稿进行修订完善</w:t>
      </w:r>
    </w:p>
    <w:p w14:paraId="682848D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课程实施方案初稿制定完成后，学校将组织一系列专家评审与论证活动，进一步确保方案的科学性、可行性和前瞻性。具体过程包括：</w:t>
      </w:r>
    </w:p>
    <w:p w14:paraId="39DF5B1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专家评审：学校将邀请教育专家、学科专家、课程设计专家等，组织评审会议，邀请专家对课程实施方案进行全面评审。评审内容包括课程设计的合理性、教学方法的创新性、课程目标的科学性、课程内容的适应性等方面。专家评审的目的是发现方案中的不足，提出修改意见和优化建议。</w:t>
      </w:r>
    </w:p>
    <w:p w14:paraId="4B677FE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多方论证与讨论：除了专家评审外，学校还将通过召开教师座谈会、家长会等形式，进一步收集一线教师、学生及家长的意见和建议。通过广泛的讨论与论证，进一步确认方案中的关键内容，确保其具有实际操作性和针对性。</w:t>
      </w:r>
    </w:p>
    <w:p w14:paraId="2B65732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方案修订与完善：根据专家评审和多方反馈，工作小组将对课程实施方案进行修订和完善。修订内容可能涉及课程目标的调整、教学方法的改进、课程资源的配置等方面，确保方案更加切实可行，能够真正满足学校和学生的需求。</w:t>
      </w:r>
    </w:p>
    <w:p w14:paraId="7BA62D43">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lang w:eastAsia="zh-CN"/>
        </w:rPr>
        <w:t>预期成果</w:t>
      </w:r>
    </w:p>
    <w:p w14:paraId="0AF55EE2">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lang w:eastAsia="zh-CN"/>
        </w:rPr>
        <w:t>）特色课程深度融合与学生素养全面提升：</w:t>
      </w:r>
      <w:r>
        <w:rPr>
          <w:rFonts w:hint="eastAsia" w:ascii="方正仿宋_GBK" w:hAnsi="方正仿宋_GBK" w:eastAsia="方正仿宋_GBK" w:cs="方正仿宋_GBK"/>
          <w:sz w:val="32"/>
          <w:szCs w:val="32"/>
          <w:lang w:eastAsia="zh-CN"/>
        </w:rPr>
        <w:t>各年段的课程内容在“阳光五育”特色课程指导下完成创新整合，使学生在德育、智育、体育、美育、劳育五育均衡发展。</w:t>
      </w:r>
    </w:p>
    <w:p w14:paraId="14B9D1AF">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lang w:eastAsia="zh-CN"/>
        </w:rPr>
        <w:t>）教师创新教学能力与团队协作提升：</w:t>
      </w:r>
      <w:r>
        <w:rPr>
          <w:rFonts w:hint="eastAsia" w:ascii="方正仿宋_GBK" w:hAnsi="方正仿宋_GBK" w:eastAsia="方正仿宋_GBK" w:cs="方正仿宋_GBK"/>
          <w:sz w:val="32"/>
          <w:szCs w:val="32"/>
          <w:lang w:eastAsia="zh-CN"/>
        </w:rPr>
        <w:t>教师逐步掌握在“阳光五育”课程指导下进行跨学科教学的创新方法，能够设计并实施更加综合性、富有实践性的课堂。各年段教师团队的协作逐步深化，通过跨学科设计、团队备课和分享经验，形成了以“阳光五育”为核心的教研团队和教学模式，教师的教学水平和创新能力大幅提升。</w:t>
      </w:r>
    </w:p>
    <w:p w14:paraId="1EE131E4">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sz w:val="32"/>
          <w:szCs w:val="32"/>
          <w:lang w:eastAsia="zh-CN"/>
        </w:rPr>
      </w:pPr>
      <w:bookmarkStart w:id="0" w:name="_GoBack"/>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lang w:eastAsia="zh-CN"/>
        </w:rPr>
        <w:t>）有效的课程反馈与动态改进机制：</w:t>
      </w:r>
      <w:bookmarkEnd w:id="0"/>
      <w:r>
        <w:rPr>
          <w:rFonts w:hint="eastAsia" w:ascii="方正仿宋_GBK" w:hAnsi="方正仿宋_GBK" w:eastAsia="方正仿宋_GBK" w:cs="方正仿宋_GBK"/>
          <w:sz w:val="32"/>
          <w:szCs w:val="32"/>
          <w:lang w:eastAsia="zh-CN"/>
        </w:rPr>
        <w:t>根据学生的成长需求及家校反馈，建立了多元化的课程评价机制，结合学生自评、互评、教师观察以及家长反馈，确保课程内容与实施方法不断优化。课程反馈贯穿德育、智育、美育、体育、劳育五大方面，使得课程设计更加灵活贴近学生成长需求，为五育并举的目标保驾护航。</w:t>
      </w:r>
    </w:p>
    <w:p w14:paraId="34C6DCB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家校社合作与支持体系的建立：家长与社会资源在课程中得到更广泛的引入，通过家长课堂、社区活动、校外拓展等形式，提升学生对社会的理解和责任感。社区、企业资源为学生提供了丰富的实践平台，如社区公益、环保行动等，帮助学生在真实环境中学习并提升综合素质，增强学校教育与社会生活的联系。</w:t>
      </w:r>
    </w:p>
    <w:p w14:paraId="3B7E3F09">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lang w:eastAsia="zh-CN"/>
        </w:rPr>
        <w:t>实施保障措施</w:t>
      </w:r>
    </w:p>
    <w:p w14:paraId="1648ABB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为确保第一阶段的课程建设和优化取得良好效果，需建立以下保障机制：</w:t>
      </w:r>
    </w:p>
    <w:p w14:paraId="711D634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一</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领导</w:t>
      </w:r>
      <w:r>
        <w:rPr>
          <w:rFonts w:hint="eastAsia" w:ascii="方正仿宋_GBK" w:hAnsi="方正仿宋_GBK" w:eastAsia="方正仿宋_GBK" w:cs="方正仿宋_GBK"/>
          <w:b w:val="0"/>
          <w:bCs w:val="0"/>
          <w:sz w:val="32"/>
          <w:szCs w:val="32"/>
          <w:lang w:eastAsia="zh-CN"/>
        </w:rPr>
        <w:t>支持与资源保障</w:t>
      </w:r>
    </w:p>
    <w:p w14:paraId="063BDBB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学校管理层全力支持“阳光五育”课程的推进，设立专门的课程改革专项基金，用于教师培训、课程资源建设和外部支持资金。定期组织管理团队和教师团队的协作会议，及时解决课程实施过程中遇到的实际问题，确保课程资源的持续供给。</w:t>
      </w:r>
    </w:p>
    <w:p w14:paraId="781E9F3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二</w:t>
      </w:r>
      <w:r>
        <w:rPr>
          <w:rFonts w:hint="eastAsia" w:ascii="方正仿宋_GBK" w:hAnsi="方正仿宋_GBK" w:eastAsia="方正仿宋_GBK" w:cs="方正仿宋_GBK"/>
          <w:b w:val="0"/>
          <w:bCs w:val="0"/>
          <w:sz w:val="32"/>
          <w:szCs w:val="32"/>
          <w:lang w:eastAsia="zh-CN"/>
        </w:rPr>
        <w:t>）教师教研与评价激励机制</w:t>
      </w:r>
    </w:p>
    <w:p w14:paraId="2F66A42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设置课程创新奖，表彰在课程设计与教学方法上表现突出的教师。鼓励教师参与校内外教研活动和培训，为教师提供研究机会和展示平台，促进教学方法不断创新。定期进行教师教学效果评估，作为教师考核的重要依据，并为表现优异的教师提供进一步学习机会。</w:t>
      </w:r>
    </w:p>
    <w:p w14:paraId="7FBDED0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三</w:t>
      </w:r>
      <w:r>
        <w:rPr>
          <w:rFonts w:hint="eastAsia" w:ascii="方正仿宋_GBK" w:hAnsi="方正仿宋_GBK" w:eastAsia="方正仿宋_GBK" w:cs="方正仿宋_GBK"/>
          <w:b w:val="0"/>
          <w:bCs w:val="0"/>
          <w:sz w:val="32"/>
          <w:szCs w:val="32"/>
          <w:lang w:eastAsia="zh-CN"/>
        </w:rPr>
        <w:t>）家长与社会资源的深度合作平台</w:t>
      </w:r>
    </w:p>
    <w:p w14:paraId="533DE63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建立学校家长委员会和社区志愿者网络，通过“阳光五育”特色课程分享会、家庭教育讲座、家长参与课堂等方式，让家长和社区成为课程内容的支持力量。积极引入社区专家和企业资源，为学生提供多样化的校外学习平台，增加实践机会和社会支持。</w:t>
      </w:r>
    </w:p>
    <w:p w14:paraId="0CDECFD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四</w:t>
      </w:r>
      <w:r>
        <w:rPr>
          <w:rFonts w:hint="eastAsia" w:ascii="方正仿宋_GBK" w:hAnsi="方正仿宋_GBK" w:eastAsia="方正仿宋_GBK" w:cs="方正仿宋_GBK"/>
          <w:b w:val="0"/>
          <w:bCs w:val="0"/>
          <w:sz w:val="32"/>
          <w:szCs w:val="32"/>
          <w:lang w:eastAsia="zh-CN"/>
        </w:rPr>
        <w:t>）信息化支持与管理平台建设</w:t>
      </w:r>
    </w:p>
    <w:p w14:paraId="77C825B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利用现代信息技术手段建立数字化的课程管理系统和家校互动平台，方便教师、学生和家长共享课程资源和反馈信息。通过信息化平台实现课程实施过程的可视化管理和数据化反馈，及时采集和分析学生的学习数据，支持教学内容的调整与优化。</w:t>
      </w:r>
    </w:p>
    <w:p w14:paraId="3BC81EF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五</w:t>
      </w:r>
      <w:r>
        <w:rPr>
          <w:rFonts w:hint="eastAsia" w:ascii="方正仿宋_GBK" w:hAnsi="方正仿宋_GBK" w:eastAsia="方正仿宋_GBK" w:cs="方正仿宋_GBK"/>
          <w:b w:val="0"/>
          <w:bCs w:val="0"/>
          <w:sz w:val="32"/>
          <w:szCs w:val="32"/>
          <w:lang w:eastAsia="zh-CN"/>
        </w:rPr>
        <w:t>）课程反馈与持续改进机制</w:t>
      </w:r>
    </w:p>
    <w:p w14:paraId="229047C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建立健全课程实施反馈机制，通过学生、家长、教师的多方评价，及时收集课程实施效果和学生发展变化。以每学期一次的课程研讨会为平台，分析课程实施的优势和不足，制定改进措施，使课程内容和教学方法能有效跟进学生成长需求，确保五育并举目标的实现。</w:t>
      </w:r>
    </w:p>
    <w:p w14:paraId="6164DE38">
      <w:pPr>
        <w:pStyle w:val="3"/>
        <w:keepNext w:val="0"/>
        <w:keepLines w:val="0"/>
        <w:widowControl/>
        <w:suppressLineNumbers w:val="0"/>
        <w:ind w:firstLine="643" w:firstLineChars="200"/>
        <w:rPr>
          <w:rFonts w:hint="eastAsia" w:ascii="方正仿宋_GBK" w:hAnsi="方正仿宋_GBK" w:eastAsia="方正仿宋_GBK" w:cs="方正仿宋_GBK"/>
          <w:b/>
          <w:bCs/>
          <w:kern w:val="2"/>
          <w:sz w:val="32"/>
          <w:szCs w:val="32"/>
          <w:lang w:val="en-US" w:eastAsia="zh-CN" w:bidi="ar-SA"/>
        </w:rPr>
      </w:pPr>
    </w:p>
    <w:p w14:paraId="22D823D2">
      <w:pPr>
        <w:pStyle w:val="3"/>
        <w:keepNext w:val="0"/>
        <w:keepLines w:val="0"/>
        <w:widowControl/>
        <w:suppressLineNumbers w:val="0"/>
        <w:ind w:firstLine="643" w:firstLineChars="200"/>
        <w:rPr>
          <w:rFonts w:hint="eastAsia" w:ascii="方正仿宋_GBK" w:hAnsi="方正仿宋_GBK" w:eastAsia="方正仿宋_GBK" w:cs="方正仿宋_GBK"/>
          <w:b/>
          <w:bCs/>
          <w:kern w:val="2"/>
          <w:sz w:val="32"/>
          <w:szCs w:val="32"/>
          <w:lang w:val="en-US" w:eastAsia="zh-CN" w:bidi="ar-SA"/>
        </w:rPr>
      </w:pPr>
    </w:p>
    <w:p w14:paraId="4D567DBC">
      <w:pPr>
        <w:pStyle w:val="3"/>
        <w:keepNext w:val="0"/>
        <w:keepLines w:val="0"/>
        <w:widowControl/>
        <w:suppressLineNumbers w:val="0"/>
        <w:ind w:firstLine="643" w:firstLineChars="200"/>
        <w:rPr>
          <w:rFonts w:hint="eastAsia" w:ascii="方正仿宋_GBK" w:hAnsi="方正仿宋_GBK" w:eastAsia="方正仿宋_GBK" w:cs="方正仿宋_GBK"/>
          <w:b/>
          <w:bCs/>
          <w:kern w:val="2"/>
          <w:sz w:val="32"/>
          <w:szCs w:val="32"/>
          <w:lang w:val="en-US" w:eastAsia="zh-CN" w:bidi="ar-SA"/>
        </w:rPr>
      </w:pPr>
    </w:p>
    <w:p w14:paraId="324F917C">
      <w:pPr>
        <w:pStyle w:val="3"/>
        <w:keepNext w:val="0"/>
        <w:keepLines w:val="0"/>
        <w:widowControl/>
        <w:suppressLineNumbers w:val="0"/>
        <w:ind w:firstLine="643" w:firstLineChars="200"/>
        <w:rPr>
          <w:rFonts w:hint="eastAsia" w:ascii="方正仿宋_GBK" w:hAnsi="方正仿宋_GBK" w:eastAsia="方正仿宋_GBK" w:cs="方正仿宋_GBK"/>
          <w:b/>
          <w:bCs/>
          <w:kern w:val="2"/>
          <w:sz w:val="32"/>
          <w:szCs w:val="32"/>
          <w:lang w:val="en-US" w:eastAsia="zh-CN" w:bidi="ar-SA"/>
        </w:rPr>
      </w:pPr>
    </w:p>
    <w:p w14:paraId="6B0C4114">
      <w:pPr>
        <w:pStyle w:val="3"/>
        <w:keepNext w:val="0"/>
        <w:keepLines w:val="0"/>
        <w:widowControl/>
        <w:suppressLineNumbers w:val="0"/>
        <w:ind w:firstLine="643" w:firstLineChars="20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附件1：</w:t>
      </w:r>
    </w:p>
    <w:p w14:paraId="38C0C1C0">
      <w:pPr>
        <w:pStyle w:val="3"/>
        <w:keepNext w:val="0"/>
        <w:keepLines w:val="0"/>
        <w:widowControl/>
        <w:suppressLineNumbers w:val="0"/>
        <w:ind w:firstLine="643" w:firstLineChars="20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时间安排与任务分解</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1"/>
        <w:gridCol w:w="5761"/>
      </w:tblGrid>
      <w:tr w14:paraId="0B74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713B8748">
            <w:pPr>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时间</w:t>
            </w:r>
          </w:p>
        </w:tc>
        <w:tc>
          <w:tcPr>
            <w:tcW w:w="5761" w:type="dxa"/>
          </w:tcPr>
          <w:p w14:paraId="183B0271">
            <w:pPr>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任务安排</w:t>
            </w:r>
          </w:p>
        </w:tc>
      </w:tr>
      <w:tr w14:paraId="39EE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1BCE134C">
            <w:pPr>
              <w:rPr>
                <w:rFonts w:hint="eastAsia"/>
                <w:sz w:val="20"/>
                <w:szCs w:val="22"/>
                <w:vertAlign w:val="baseline"/>
                <w:lang w:val="en-US" w:eastAsia="zh-CN"/>
              </w:rPr>
            </w:pPr>
            <w:r>
              <w:rPr>
                <w:rFonts w:hint="eastAsia" w:ascii="方正仿宋_GBK" w:hAnsi="方正仿宋_GBK" w:eastAsia="方正仿宋_GBK" w:cs="方正仿宋_GBK"/>
                <w:b w:val="0"/>
                <w:bCs w:val="0"/>
                <w:kern w:val="2"/>
                <w:sz w:val="28"/>
                <w:szCs w:val="28"/>
                <w:lang w:val="en-US" w:eastAsia="zh-CN" w:bidi="ar-SA"/>
              </w:rPr>
              <w:t>2024年9月-11月</w:t>
            </w:r>
          </w:p>
        </w:tc>
        <w:tc>
          <w:tcPr>
            <w:tcW w:w="5761" w:type="dxa"/>
          </w:tcPr>
          <w:p w14:paraId="4945B594">
            <w:pPr>
              <w:keepNext w:val="0"/>
              <w:keepLines w:val="0"/>
              <w:widowControl/>
              <w:numPr>
                <w:ilvl w:val="0"/>
                <w:numId w:val="0"/>
              </w:numPr>
              <w:suppressLineNumbers w:val="0"/>
              <w:spacing w:before="0" w:beforeAutospacing="1" w:after="0" w:afterAutospacing="1"/>
              <w:rPr>
                <w:rFonts w:hint="eastAsia"/>
                <w:sz w:val="20"/>
                <w:szCs w:val="22"/>
                <w:vertAlign w:val="baseline"/>
                <w:lang w:val="en-US" w:eastAsia="zh-CN"/>
              </w:rPr>
            </w:pPr>
            <w:r>
              <w:rPr>
                <w:rFonts w:hint="eastAsia" w:ascii="方正仿宋_GBK" w:hAnsi="方正仿宋_GBK" w:eastAsia="方正仿宋_GBK" w:cs="方正仿宋_GBK"/>
                <w:b w:val="0"/>
                <w:bCs w:val="0"/>
                <w:kern w:val="2"/>
                <w:sz w:val="28"/>
                <w:szCs w:val="28"/>
                <w:lang w:val="en-US" w:eastAsia="zh-CN" w:bidi="ar-SA"/>
              </w:rPr>
              <w:t>成立工作小组，启动调研工作；明确课程目标和设计思路。</w:t>
            </w:r>
          </w:p>
        </w:tc>
      </w:tr>
      <w:tr w14:paraId="362E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3C6ADC40">
            <w:pPr>
              <w:rPr>
                <w:rFonts w:hint="eastAsia"/>
                <w:sz w:val="20"/>
                <w:szCs w:val="22"/>
                <w:vertAlign w:val="baseline"/>
                <w:lang w:val="en-US" w:eastAsia="zh-CN"/>
              </w:rPr>
            </w:pPr>
            <w:r>
              <w:rPr>
                <w:rFonts w:hint="eastAsia" w:ascii="方正仿宋_GBK" w:hAnsi="方正仿宋_GBK" w:eastAsia="方正仿宋_GBK" w:cs="方正仿宋_GBK"/>
                <w:b w:val="0"/>
                <w:bCs w:val="0"/>
                <w:kern w:val="2"/>
                <w:sz w:val="28"/>
                <w:szCs w:val="28"/>
                <w:lang w:val="en-US" w:eastAsia="zh-CN" w:bidi="ar-SA"/>
              </w:rPr>
              <w:t>2024年12月-1月</w:t>
            </w:r>
          </w:p>
        </w:tc>
        <w:tc>
          <w:tcPr>
            <w:tcW w:w="5761" w:type="dxa"/>
          </w:tcPr>
          <w:p w14:paraId="1FEE82EF">
            <w:pPr>
              <w:rPr>
                <w:rFonts w:hint="eastAsia"/>
                <w:sz w:val="20"/>
                <w:szCs w:val="22"/>
                <w:vertAlign w:val="baseline"/>
                <w:lang w:val="en-US" w:eastAsia="zh-CN"/>
              </w:rPr>
            </w:pPr>
            <w:r>
              <w:rPr>
                <w:rFonts w:hint="eastAsia" w:ascii="方正仿宋_GBK" w:hAnsi="方正仿宋_GBK" w:eastAsia="方正仿宋_GBK" w:cs="方正仿宋_GBK"/>
                <w:b w:val="0"/>
                <w:bCs w:val="0"/>
                <w:kern w:val="2"/>
                <w:sz w:val="28"/>
                <w:szCs w:val="28"/>
                <w:lang w:val="en-US" w:eastAsia="zh-CN" w:bidi="ar-SA"/>
              </w:rPr>
              <w:t>开展学生、教师、家长调研，评估现有课程体系，分析课程需求。</w:t>
            </w:r>
          </w:p>
        </w:tc>
      </w:tr>
      <w:tr w14:paraId="57C0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718D7EEA">
            <w:pPr>
              <w:rPr>
                <w:rFonts w:hint="eastAsia"/>
                <w:sz w:val="20"/>
                <w:szCs w:val="22"/>
                <w:vertAlign w:val="baseline"/>
                <w:lang w:val="en-US" w:eastAsia="zh-CN"/>
              </w:rPr>
            </w:pPr>
            <w:r>
              <w:rPr>
                <w:rFonts w:hint="eastAsia" w:ascii="方正仿宋_GBK" w:hAnsi="方正仿宋_GBK" w:eastAsia="方正仿宋_GBK" w:cs="方正仿宋_GBK"/>
                <w:b w:val="0"/>
                <w:bCs w:val="0"/>
                <w:kern w:val="2"/>
                <w:sz w:val="28"/>
                <w:szCs w:val="28"/>
                <w:lang w:val="en-US" w:eastAsia="zh-CN" w:bidi="ar-SA"/>
              </w:rPr>
              <w:t>2025年2月-3月</w:t>
            </w:r>
          </w:p>
        </w:tc>
        <w:tc>
          <w:tcPr>
            <w:tcW w:w="5761" w:type="dxa"/>
          </w:tcPr>
          <w:p w14:paraId="7FBB998D">
            <w:pPr>
              <w:keepNext w:val="0"/>
              <w:keepLines w:val="0"/>
              <w:widowControl/>
              <w:numPr>
                <w:ilvl w:val="0"/>
                <w:numId w:val="0"/>
              </w:numPr>
              <w:suppressLineNumbers w:val="0"/>
              <w:spacing w:before="0" w:beforeAutospacing="1" w:after="0" w:afterAutospacing="1"/>
              <w:rPr>
                <w:rFonts w:hint="eastAsia"/>
                <w:sz w:val="20"/>
                <w:szCs w:val="22"/>
                <w:vertAlign w:val="baseline"/>
                <w:lang w:val="en-US" w:eastAsia="zh-CN"/>
              </w:rPr>
            </w:pPr>
            <w:r>
              <w:rPr>
                <w:rFonts w:hint="eastAsia" w:ascii="方正仿宋_GBK" w:hAnsi="方正仿宋_GBK" w:eastAsia="方正仿宋_GBK" w:cs="方正仿宋_GBK"/>
                <w:b w:val="0"/>
                <w:bCs w:val="0"/>
                <w:kern w:val="2"/>
                <w:sz w:val="28"/>
                <w:szCs w:val="28"/>
                <w:lang w:val="en-US" w:eastAsia="zh-CN" w:bidi="ar-SA"/>
              </w:rPr>
              <w:t>制定课程实施方案初稿，进行内部讨论与修订。</w:t>
            </w:r>
          </w:p>
        </w:tc>
      </w:tr>
      <w:tr w14:paraId="3816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188E2400">
            <w:pPr>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2025年3月-4月</w:t>
            </w:r>
          </w:p>
        </w:tc>
        <w:tc>
          <w:tcPr>
            <w:tcW w:w="5761" w:type="dxa"/>
          </w:tcPr>
          <w:p w14:paraId="542DECE0">
            <w:pPr>
              <w:keepNext w:val="0"/>
              <w:keepLines w:val="0"/>
              <w:widowControl/>
              <w:numPr>
                <w:ilvl w:val="0"/>
                <w:numId w:val="0"/>
              </w:numPr>
              <w:suppressLineNumbers w:val="0"/>
              <w:spacing w:before="0" w:beforeAutospacing="1" w:after="0" w:afterAutospacing="1"/>
              <w:rPr>
                <w:rFonts w:hint="eastAsia"/>
                <w:sz w:val="20"/>
                <w:szCs w:val="22"/>
                <w:vertAlign w:val="baseline"/>
                <w:lang w:val="en-US" w:eastAsia="zh-CN"/>
              </w:rPr>
            </w:pPr>
            <w:r>
              <w:rPr>
                <w:rFonts w:hint="eastAsia" w:ascii="方正仿宋_GBK" w:hAnsi="方正仿宋_GBK" w:eastAsia="方正仿宋_GBK" w:cs="方正仿宋_GBK"/>
                <w:b w:val="0"/>
                <w:bCs w:val="0"/>
                <w:kern w:val="2"/>
                <w:sz w:val="28"/>
                <w:szCs w:val="28"/>
                <w:lang w:val="en-US" w:eastAsia="zh-CN" w:bidi="ar-SA"/>
              </w:rPr>
              <w:t>组织专家评审与论证，收集反馈意见。</w:t>
            </w:r>
          </w:p>
        </w:tc>
      </w:tr>
      <w:tr w14:paraId="426B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7C45DB26">
            <w:pPr>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2025年5月-6月</w:t>
            </w:r>
          </w:p>
        </w:tc>
        <w:tc>
          <w:tcPr>
            <w:tcW w:w="5761" w:type="dxa"/>
          </w:tcPr>
          <w:p w14:paraId="6052C6A6">
            <w:pPr>
              <w:keepNext w:val="0"/>
              <w:keepLines w:val="0"/>
              <w:widowControl/>
              <w:numPr>
                <w:ilvl w:val="0"/>
                <w:numId w:val="0"/>
              </w:numPr>
              <w:suppressLineNumbers w:val="0"/>
              <w:spacing w:before="0" w:beforeAutospacing="1" w:after="0" w:afterAutospacing="1"/>
              <w:rPr>
                <w:rFonts w:hint="eastAsia"/>
                <w:sz w:val="20"/>
                <w:szCs w:val="22"/>
                <w:vertAlign w:val="baseline"/>
                <w:lang w:val="en-US" w:eastAsia="zh-CN"/>
              </w:rPr>
            </w:pPr>
            <w:r>
              <w:rPr>
                <w:rFonts w:hint="eastAsia" w:ascii="方正仿宋_GBK" w:hAnsi="方正仿宋_GBK" w:eastAsia="方正仿宋_GBK" w:cs="方正仿宋_GBK"/>
                <w:b w:val="0"/>
                <w:bCs w:val="0"/>
                <w:kern w:val="2"/>
                <w:sz w:val="28"/>
                <w:szCs w:val="28"/>
                <w:lang w:val="en-US" w:eastAsia="zh-CN" w:bidi="ar-SA"/>
              </w:rPr>
              <w:t>根据反馈修订方案，准备进入第二阶段的实施准备。</w:t>
            </w:r>
          </w:p>
        </w:tc>
      </w:tr>
    </w:tbl>
    <w:p w14:paraId="00F2A315">
      <w:pPr>
        <w:pStyle w:val="3"/>
        <w:keepNext w:val="0"/>
        <w:keepLines w:val="0"/>
        <w:widowControl/>
        <w:suppressLineNumbers w:val="0"/>
        <w:ind w:firstLine="643" w:firstLineChars="200"/>
        <w:rPr>
          <w:rFonts w:hint="eastAsia" w:ascii="方正仿宋_GBK" w:hAnsi="方正仿宋_GBK" w:eastAsia="方正仿宋_GBK" w:cs="方正仿宋_GBK"/>
          <w:b/>
          <w:bCs/>
          <w:kern w:val="2"/>
          <w:sz w:val="32"/>
          <w:szCs w:val="32"/>
          <w:lang w:val="en-US" w:eastAsia="zh-CN" w:bidi="ar-SA"/>
        </w:rPr>
      </w:pPr>
    </w:p>
    <w:p w14:paraId="563EBD57">
      <w:pPr>
        <w:pStyle w:val="3"/>
        <w:keepNext w:val="0"/>
        <w:keepLines w:val="0"/>
        <w:widowControl/>
        <w:suppressLineNumbers w:val="0"/>
        <w:ind w:firstLine="643" w:firstLineChars="200"/>
        <w:rPr>
          <w:rFonts w:hint="eastAsia" w:ascii="方正仿宋_GBK" w:hAnsi="方正仿宋_GBK" w:eastAsia="方正仿宋_GBK" w:cs="方正仿宋_GBK"/>
          <w:b/>
          <w:bCs/>
          <w:kern w:val="2"/>
          <w:sz w:val="32"/>
          <w:szCs w:val="32"/>
          <w:lang w:val="en-US" w:eastAsia="zh-CN" w:bidi="ar-SA"/>
        </w:rPr>
      </w:pPr>
    </w:p>
    <w:p w14:paraId="117B0B70">
      <w:pPr>
        <w:pStyle w:val="3"/>
        <w:keepNext w:val="0"/>
        <w:keepLines w:val="0"/>
        <w:widowControl/>
        <w:suppressLineNumbers w:val="0"/>
        <w:ind w:firstLine="643" w:firstLineChars="200"/>
        <w:rPr>
          <w:rFonts w:hint="eastAsia" w:ascii="方正仿宋_GBK" w:hAnsi="方正仿宋_GBK" w:eastAsia="方正仿宋_GBK" w:cs="方正仿宋_GBK"/>
          <w:b/>
          <w:bCs/>
          <w:kern w:val="2"/>
          <w:sz w:val="32"/>
          <w:szCs w:val="32"/>
          <w:lang w:val="en-US" w:eastAsia="zh-CN" w:bidi="ar-SA"/>
        </w:rPr>
      </w:pPr>
    </w:p>
    <w:p w14:paraId="2EFD5723">
      <w:pPr>
        <w:pStyle w:val="3"/>
        <w:keepNext w:val="0"/>
        <w:keepLines w:val="0"/>
        <w:widowControl/>
        <w:suppressLineNumbers w:val="0"/>
        <w:ind w:firstLine="643" w:firstLineChars="200"/>
        <w:rPr>
          <w:rFonts w:hint="eastAsia" w:ascii="方正仿宋_GBK" w:hAnsi="方正仿宋_GBK" w:eastAsia="方正仿宋_GBK" w:cs="方正仿宋_GBK"/>
          <w:b/>
          <w:bCs/>
          <w:kern w:val="2"/>
          <w:sz w:val="32"/>
          <w:szCs w:val="32"/>
          <w:lang w:val="en-US" w:eastAsia="zh-CN" w:bidi="ar-SA"/>
        </w:rPr>
      </w:pPr>
    </w:p>
    <w:p w14:paraId="59B3CE50">
      <w:pPr>
        <w:pStyle w:val="3"/>
        <w:keepNext w:val="0"/>
        <w:keepLines w:val="0"/>
        <w:widowControl/>
        <w:suppressLineNumbers w:val="0"/>
        <w:ind w:firstLine="643" w:firstLineChars="200"/>
        <w:rPr>
          <w:rFonts w:hint="eastAsia" w:ascii="方正仿宋_GBK" w:hAnsi="方正仿宋_GBK" w:eastAsia="方正仿宋_GBK" w:cs="方正仿宋_GBK"/>
          <w:b/>
          <w:bCs/>
          <w:kern w:val="2"/>
          <w:sz w:val="32"/>
          <w:szCs w:val="32"/>
          <w:lang w:val="en-US" w:eastAsia="zh-CN" w:bidi="ar-SA"/>
        </w:rPr>
      </w:pPr>
    </w:p>
    <w:p w14:paraId="7826D834">
      <w:pPr>
        <w:pStyle w:val="3"/>
        <w:keepNext w:val="0"/>
        <w:keepLines w:val="0"/>
        <w:widowControl/>
        <w:suppressLineNumbers w:val="0"/>
        <w:ind w:firstLine="643" w:firstLineChars="200"/>
        <w:rPr>
          <w:rFonts w:hint="eastAsia" w:ascii="方正仿宋_GBK" w:hAnsi="方正仿宋_GBK" w:eastAsia="方正仿宋_GBK" w:cs="方正仿宋_GBK"/>
          <w:b/>
          <w:bCs/>
          <w:kern w:val="2"/>
          <w:sz w:val="32"/>
          <w:szCs w:val="32"/>
          <w:lang w:val="en-US" w:eastAsia="zh-CN" w:bidi="ar-SA"/>
        </w:rPr>
      </w:pPr>
    </w:p>
    <w:p w14:paraId="57924677">
      <w:pPr>
        <w:pStyle w:val="3"/>
        <w:keepNext w:val="0"/>
        <w:keepLines w:val="0"/>
        <w:widowControl/>
        <w:suppressLineNumbers w:val="0"/>
        <w:ind w:firstLine="643" w:firstLineChars="20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附件2：</w:t>
      </w:r>
    </w:p>
    <w:p w14:paraId="40236A3F">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lang w:eastAsia="zh-CN"/>
        </w:rPr>
        <w:t>“阳光五育”特色课程</w:t>
      </w:r>
      <w:r>
        <w:rPr>
          <w:rFonts w:hint="eastAsia" w:ascii="方正仿宋_GBK" w:hAnsi="方正仿宋_GBK" w:eastAsia="方正仿宋_GBK" w:cs="方正仿宋_GBK"/>
          <w:b/>
          <w:bCs/>
          <w:sz w:val="32"/>
          <w:szCs w:val="32"/>
          <w:lang w:val="en-US" w:eastAsia="zh-CN"/>
        </w:rPr>
        <w:t>具体</w:t>
      </w:r>
      <w:r>
        <w:rPr>
          <w:rFonts w:hint="eastAsia" w:ascii="方正仿宋_GBK" w:hAnsi="方正仿宋_GBK" w:eastAsia="方正仿宋_GBK" w:cs="方正仿宋_GBK"/>
          <w:b/>
          <w:bCs/>
          <w:sz w:val="32"/>
          <w:szCs w:val="32"/>
          <w:lang w:eastAsia="zh-CN"/>
        </w:rPr>
        <w:t>实施</w:t>
      </w:r>
    </w:p>
    <w:p w14:paraId="3FB85905">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（一）低年段课程实施计划（1-2年级）</w:t>
      </w:r>
    </w:p>
    <w:p w14:paraId="1C79893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 课程整合与优化</w:t>
      </w:r>
    </w:p>
    <w:p w14:paraId="18C8516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立德德育课程：在低年段的德育课程中加入简单的社会主义核心价值观的启蒙教育，通过“爱祖国”、“守规则”等主题活动，让学生在讲故事、唱儿歌中初步理解“爱国”、“诚信”等价值观。结合中华传统文化，设计“孝敬长辈”“讲文明”等小游戏，培养学生的基础品德。</w:t>
      </w:r>
    </w:p>
    <w:p w14:paraId="376845B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增智博学课程：强化基础学科的趣味学习，结合低年段的兴趣，设计成语故事、国学经典儿歌等形式，使学生通过听、唱、演等感受传统文化的魅力，并在“我爱阅读”环节引入时代美文的简易读本，培养阅读习惯。</w:t>
      </w:r>
    </w:p>
    <w:p w14:paraId="0BF335A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阳光健体体育课程：结合本地特色运动，加入一些如趣味跑、简单的球类游戏等基础活动，培养学生的身体素质和团队合作的初步意识。在日常课间操中渗透阳光健体理念，开展简单的协作游戏。</w:t>
      </w:r>
    </w:p>
    <w:p w14:paraId="1A9A8FC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育美艺术课程：设计“我爱家乡”主题艺术活动，在绘画、剪纸等课堂中引入简单的家乡文化图案，增进学生对地方文化的认同。增设“色彩的故事”模块，通过色彩游戏、创意手工等培养学生的基础审美力。</w:t>
      </w:r>
    </w:p>
    <w:p w14:paraId="2F4DE7D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阳光乐劳劳动课程：结合劳动课程，增加基础的动手实践，如种植小植物、简单手工制作等，使学生初步感受劳动的乐趣与成就感，养成劳动习惯。</w:t>
      </w:r>
    </w:p>
    <w:p w14:paraId="747CABA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 教师培训与团队建设</w:t>
      </w:r>
    </w:p>
    <w:p w14:paraId="282D07D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德育与传统文化培训：每月组织低年段教师关于“阳光立德”与“阳光增智”课程的德育与传统文化教学专题培训，帮助教师掌握如何将德育与传统文化通过故事、儿歌等形式渗透到日常教学中。</w:t>
      </w:r>
    </w:p>
    <w:p w14:paraId="7772D9C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跨学科协作团队：以年级组为单位，推动语文、艺术、体育等科目教师合作设计“阳光立德”、“阳光育美”等活动，让课程设计更具连贯性。</w:t>
      </w:r>
    </w:p>
    <w:p w14:paraId="06E35F2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 课程评价与反馈</w:t>
      </w:r>
    </w:p>
    <w:p w14:paraId="59F368D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家校沟通反馈机制：将德育和博学课程的实施反馈加入家校沟通，建立简易的反馈表格，记录家长对孩子在德育、传统文化兴趣等方面的观察，便于教师及时调整。</w:t>
      </w:r>
    </w:p>
    <w:p w14:paraId="61EC7610">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（二）中年段课程实施计划（3-4年级）</w:t>
      </w:r>
    </w:p>
    <w:p w14:paraId="2D358EA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 课程整合与优化</w:t>
      </w:r>
    </w:p>
    <w:p w14:paraId="072614D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阳光立德德育课程：深化德育内容，通过“我是文明小使者”、“中华文化我来说”等主题活动，引导学生在小组讨论、角色扮演中加深对社会主义核心价值观的理解，增强学生的责任感与集体荣誉感。</w:t>
      </w:r>
    </w:p>
    <w:p w14:paraId="0DBA575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增智博学课程：在语文、社会等学科中引入国学经典诵读，如《论语》《三字经》等经典选段，并鼓励学生课后积累背诵；结合课外阅读，通过“书香小达人”评选活动，让学生分享阅读心得，培养批判性思维能力。</w:t>
      </w:r>
    </w:p>
    <w:p w14:paraId="195E310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阳光健体体育课程：根据中年段学生的身体特点，增设地方传统体育活动如踢毽子、跳绳等，并在课程中渗透团队合作的理念，例如“团体跳绳比赛”等，通过团队活动培养学生协作精神。</w:t>
      </w:r>
    </w:p>
    <w:p w14:paraId="714C81D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阳光育美艺术课程：在艺术课程中增设“传统技艺体验日”，引导学生体验如剪纸、泥塑等传统技艺，让学生在动手过程中理解中华文化的艺术之美。每学期举办艺术展览，让学生展示个人作品，激发自信心。</w:t>
      </w:r>
    </w:p>
    <w:p w14:paraId="4804602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阳光乐劳劳动课程：进一步丰富劳动内容，通过农耕体验、环保劳动等活动，让学生亲手播种、参与环保清洁，培养劳动技能和环保意识。通过“我是劳动小达人”表彰活动，提升学生的参与感与成就感。</w:t>
      </w:r>
    </w:p>
    <w:p w14:paraId="736D10A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 教师培训与团队建设</w:t>
      </w:r>
    </w:p>
    <w:p w14:paraId="7179B62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阳光增智课程创新培训：针对博学课程，组织国学经典、时代美文诵读和批判性思维提升的培训，帮助教师在课程中引入高质量的阅读资源，指导学生思考分析。</w:t>
      </w:r>
    </w:p>
    <w:p w14:paraId="56CCA75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德育与艺术整合团队：组织德育、艺术教师合作，设计德育内容与艺术表达结合的课堂活动，帮助学生在艺术创作中理解德育核心价值观。</w:t>
      </w:r>
    </w:p>
    <w:p w14:paraId="63B60DB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 课程评价与反馈</w:t>
      </w:r>
    </w:p>
    <w:p w14:paraId="10B023B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学生互评与自评：在德育课程中引入自评和互评机制，让学生通过“我是文明小卫士”等活动，自评并分享德育成长，教师根据学生的反馈对德育课程进行调整和优化。</w:t>
      </w:r>
    </w:p>
    <w:p w14:paraId="62FCE847">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（三）高年段课程实施计划（5-6年级）</w:t>
      </w:r>
    </w:p>
    <w:p w14:paraId="2B69C93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 课程整合与优化</w:t>
      </w:r>
    </w:p>
    <w:p w14:paraId="5BDB52F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立德德育课程：通过“未来公民”课题探究活动，引导学生结合社会主义核心价值观与现代社会伦理，探讨社会责任和道德问题。课程中设计讨论如“什么是诚信”、“如何成为有责任感的公民”，帮助学生在探究中树立正确的价值观。</w:t>
      </w:r>
    </w:p>
    <w:p w14:paraId="121FEBC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增智博学课程：强化对国学经典的深度阅读，引导学生选读《论语》《孟子》等选段并进行思考、辩论，培养学生的文化素养与思辨能力。每学期举办“国学与时代”主题演讲比赛，学生以国学内容结合当代问题进行表达和思考。</w:t>
      </w:r>
    </w:p>
    <w:p w14:paraId="0B7934D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阳光健体体育课程：进一步拓展地方体育内容，在篮球、足球等传统体育项目的基础上，引入本地特色项目如传统武术或少数民族体育项目，并通过团队竞赛方式提高学生的竞争与合作能力。</w:t>
      </w:r>
    </w:p>
    <w:p w14:paraId="65F01A7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育美艺术课程：鼓励高年段学生在艺术课程中进行艺术创作，自主完成项目如主题绘画、摄影等，培养创新能力。引入文化艺术欣赏内容，如“名画鉴赏”、“非遗文化工作坊”等，提升学生的艺术鉴赏力与文化认同</w:t>
      </w:r>
    </w:p>
    <w:p w14:paraId="4778F65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乐劳劳动课程：在劳动教育中增加环保和技能性劳动，组织“社区公益劳动”、“校园环保劳动”等活动，让学生在参与社区实践中培养公民意识。引导学生进行手工劳动设计，通过展示和汇报提升实践能力。</w:t>
      </w:r>
    </w:p>
    <w:p w14:paraId="65F0D8F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 教师培训与团队建设</w:t>
      </w:r>
    </w:p>
    <w:p w14:paraId="0D84C77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阳光立德与博学结合培训：为高年段教师提供德育和博学课程整合的培训，帮助教师在德育课程中加入思辨和辩论，引导学生在现代社会背景下理解核心价值观的实际意义。</w:t>
      </w:r>
    </w:p>
    <w:p w14:paraId="4800090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艺术与劳动教育团队：成立艺术和劳动教育整合小组，设计基于艺术与劳动结合的创新活动，如校园装饰设计等，培养学生在艺术表达中的动手能力。</w:t>
      </w:r>
    </w:p>
    <w:p w14:paraId="2DC3E08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 课程评价与反馈</w:t>
      </w:r>
    </w:p>
    <w:p w14:paraId="5EC52B2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学生自我反思与成长日志：鼓励高年段学生在课程结束后撰写学习日志，总结德育、博学、劳动课程中的收获与反思，作为评估学生个人成长的依据，帮助教师了解学生的内在发展需求。</w:t>
      </w:r>
    </w:p>
    <w:p w14:paraId="01E0856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p>
    <w:p w14:paraId="38E1E47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p>
    <w:p w14:paraId="0D0D6FC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p>
    <w:p w14:paraId="0AABB25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p>
    <w:p w14:paraId="1E2CA499">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p>
    <w:p w14:paraId="5AFC267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p>
    <w:p w14:paraId="6BE828A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p>
    <w:p w14:paraId="79E0223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p>
    <w:p w14:paraId="328C980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p>
    <w:p w14:paraId="0034BCA8">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p>
    <w:p w14:paraId="6EA04B5E">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p>
    <w:p w14:paraId="6E2F183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p>
    <w:p w14:paraId="6F95831B">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p>
    <w:p w14:paraId="1E49BBA0">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p>
    <w:p w14:paraId="26CBFD02">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p>
    <w:p w14:paraId="5C71A7AD">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32"/>
          <w:szCs w:val="32"/>
          <w:lang w:val="en-US" w:eastAsia="zh-CN"/>
        </w:rPr>
        <w:t>附件3：</w:t>
      </w:r>
      <w:r>
        <w:rPr>
          <w:rStyle w:val="10"/>
          <w:sz w:val="28"/>
          <w:szCs w:val="28"/>
          <w:lang w:val="en-US" w:eastAsia="zh-CN" w:bidi="ar"/>
        </w:rPr>
        <w:t>澄溪小学“五彩阳光  照亮未来”课程体系（</w:t>
      </w:r>
      <w:r>
        <w:rPr>
          <w:rStyle w:val="10"/>
          <w:rFonts w:hint="eastAsia"/>
          <w:sz w:val="28"/>
          <w:szCs w:val="28"/>
          <w:lang w:val="en-US" w:eastAsia="zh-CN" w:bidi="ar"/>
        </w:rPr>
        <w:t>预设</w:t>
      </w:r>
      <w:r>
        <w:rPr>
          <w:rStyle w:val="10"/>
          <w:sz w:val="28"/>
          <w:szCs w:val="28"/>
          <w:lang w:val="en-US" w:eastAsia="zh-CN" w:bidi="ar"/>
        </w:rPr>
        <w:t>）</w:t>
      </w:r>
    </w:p>
    <w:tbl>
      <w:tblPr>
        <w:tblStyle w:val="5"/>
        <w:tblpPr w:leftFromText="180" w:rightFromText="180" w:vertAnchor="text" w:horzAnchor="page" w:tblpX="1622" w:tblpY="773"/>
        <w:tblOverlap w:val="never"/>
        <w:tblW w:w="8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8"/>
        <w:gridCol w:w="222"/>
        <w:gridCol w:w="1383"/>
        <w:gridCol w:w="240"/>
        <w:gridCol w:w="1680"/>
        <w:gridCol w:w="240"/>
        <w:gridCol w:w="1346"/>
        <w:gridCol w:w="222"/>
        <w:gridCol w:w="1322"/>
        <w:gridCol w:w="260"/>
        <w:gridCol w:w="1337"/>
      </w:tblGrid>
      <w:tr w14:paraId="40F83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EBAE">
            <w:pPr>
              <w:keepNext w:val="0"/>
              <w:keepLines w:val="0"/>
              <w:widowControl/>
              <w:suppressLineNumbers w:val="0"/>
              <w:jc w:val="center"/>
              <w:textAlignment w:val="center"/>
              <w:rPr>
                <w:rFonts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课程目标</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C62B">
            <w:pPr>
              <w:jc w:val="center"/>
              <w:rPr>
                <w:rFonts w:hint="eastAsia" w:ascii="楷体" w:hAnsi="楷体" w:eastAsia="楷体" w:cs="楷体"/>
                <w:b/>
                <w:bCs/>
                <w:i w:val="0"/>
                <w:iCs w:val="0"/>
                <w:color w:val="000000"/>
                <w:sz w:val="34"/>
                <w:szCs w:val="34"/>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0D58">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“阳光立德”育德</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00AC">
            <w:pPr>
              <w:jc w:val="center"/>
              <w:rPr>
                <w:rFonts w:hint="eastAsia" w:ascii="楷体" w:hAnsi="楷体" w:eastAsia="楷体" w:cs="楷体"/>
                <w:b/>
                <w:bCs/>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4D82">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“阳光增智”博学</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4DD1">
            <w:pPr>
              <w:jc w:val="center"/>
              <w:rPr>
                <w:rFonts w:hint="eastAsia" w:ascii="楷体" w:hAnsi="楷体" w:eastAsia="楷体" w:cs="楷体"/>
                <w:b/>
                <w:bCs/>
                <w:i w:val="0"/>
                <w:iCs w:val="0"/>
                <w:color w:val="000000"/>
                <w:sz w:val="24"/>
                <w:szCs w:val="24"/>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FF3A">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“阳光健体”体育</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0F65">
            <w:pPr>
              <w:jc w:val="center"/>
              <w:rPr>
                <w:rFonts w:hint="eastAsia" w:ascii="楷体" w:hAnsi="楷体" w:eastAsia="楷体" w:cs="楷体"/>
                <w:b/>
                <w:bCs/>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2554">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“阳光育美”艺术</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6BB6">
            <w:pPr>
              <w:jc w:val="center"/>
              <w:rPr>
                <w:rFonts w:hint="eastAsia" w:ascii="楷体" w:hAnsi="楷体" w:eastAsia="楷体" w:cs="楷体"/>
                <w:b/>
                <w:bCs/>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F10C">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“阳光乐劳”劳动</w:t>
            </w:r>
          </w:p>
        </w:tc>
      </w:tr>
      <w:tr w14:paraId="6E031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9D3953">
            <w:pPr>
              <w:jc w:val="center"/>
              <w:rPr>
                <w:rFonts w:hint="eastAsia" w:ascii="楷体" w:hAnsi="楷体" w:eastAsia="楷体" w:cs="楷体"/>
                <w:i w:val="0"/>
                <w:iCs w:val="0"/>
                <w:color w:val="000000"/>
                <w:sz w:val="21"/>
                <w:szCs w:val="21"/>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5D3B22">
            <w:pPr>
              <w:jc w:val="center"/>
              <w:rPr>
                <w:rFonts w:hint="eastAsia" w:ascii="楷体" w:hAnsi="楷体" w:eastAsia="楷体" w:cs="楷体"/>
                <w:i w:val="0"/>
                <w:iCs w:val="0"/>
                <w:color w:val="000000"/>
                <w:sz w:val="26"/>
                <w:szCs w:val="26"/>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2D84">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公共生活课程群</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2448">
            <w:pPr>
              <w:jc w:val="center"/>
              <w:rPr>
                <w:rFonts w:hint="eastAsia" w:ascii="楷体" w:hAnsi="楷体" w:eastAsia="楷体" w:cs="楷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9BE5">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智慧生活课程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0923">
            <w:pPr>
              <w:jc w:val="center"/>
              <w:rPr>
                <w:rFonts w:hint="eastAsia" w:ascii="楷体" w:hAnsi="楷体" w:eastAsia="楷体" w:cs="楷体"/>
                <w:b/>
                <w:bCs/>
                <w:i w:val="0"/>
                <w:iCs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F124">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健康生活课程群</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4708">
            <w:pPr>
              <w:jc w:val="center"/>
              <w:rPr>
                <w:rFonts w:hint="eastAsia" w:ascii="楷体" w:hAnsi="楷体" w:eastAsia="楷体" w:cs="楷体"/>
                <w:b/>
                <w:bCs/>
                <w:i w:val="0"/>
                <w:iCs w:val="0"/>
                <w:color w:val="000000"/>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1927">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艺术生活课程群</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930D">
            <w:pPr>
              <w:jc w:val="center"/>
              <w:rPr>
                <w:rFonts w:hint="eastAsia" w:ascii="楷体" w:hAnsi="楷体" w:eastAsia="楷体" w:cs="楷体"/>
                <w:b/>
                <w:bCs/>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4B54">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实践生活课程群</w:t>
            </w:r>
          </w:p>
        </w:tc>
      </w:tr>
      <w:tr w14:paraId="2FE4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2"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C019">
            <w:pPr>
              <w:keepNext w:val="0"/>
              <w:keepLines w:val="0"/>
              <w:widowControl/>
              <w:suppressLineNumbers w:val="0"/>
              <w:jc w:val="center"/>
              <w:textAlignment w:val="center"/>
              <w:rPr>
                <w:rFonts w:ascii="黑体" w:hAnsi="宋体" w:eastAsia="黑体" w:cs="黑体"/>
                <w:b/>
                <w:bCs/>
                <w:i w:val="0"/>
                <w:iCs w:val="0"/>
                <w:color w:val="000000"/>
                <w:sz w:val="2"/>
                <w:szCs w:val="2"/>
                <w:u w:val="none"/>
              </w:rPr>
            </w:pPr>
            <w:r>
              <w:rPr>
                <w:rStyle w:val="11"/>
                <w:sz w:val="2"/>
                <w:szCs w:val="2"/>
                <w:lang w:val="en-US" w:eastAsia="zh-CN" w:bidi="ar"/>
              </w:rPr>
              <w:br w:type="textWrapping"/>
            </w:r>
            <w:r>
              <w:rPr>
                <w:rStyle w:val="12"/>
                <w:sz w:val="21"/>
                <w:szCs w:val="21"/>
                <w:lang w:val="en-US" w:eastAsia="zh-CN" w:bidi="ar"/>
              </w:rPr>
              <w:t>基础性课程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top"/>
          </w:tcPr>
          <w:p w14:paraId="087F1E76">
            <w:pPr>
              <w:jc w:val="center"/>
              <w:rPr>
                <w:rFonts w:hint="eastAsia" w:ascii="黑体" w:hAnsi="宋体" w:eastAsia="黑体" w:cs="黑体"/>
                <w:b/>
                <w:bCs/>
                <w:i w:val="0"/>
                <w:iCs w:val="0"/>
                <w:color w:val="000000"/>
                <w:sz w:val="7"/>
                <w:szCs w:val="7"/>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B92D">
            <w:pPr>
              <w:keepNext w:val="0"/>
              <w:keepLines w:val="0"/>
              <w:widowControl/>
              <w:suppressLineNumbers w:val="0"/>
              <w:jc w:val="center"/>
              <w:textAlignment w:val="center"/>
              <w:rPr>
                <w:rFonts w:hint="eastAsia" w:ascii="楷体" w:hAnsi="楷体" w:eastAsia="楷体" w:cs="楷体"/>
                <w:b/>
                <w:bCs/>
                <w:i w:val="0"/>
                <w:iCs w:val="0"/>
                <w:color w:val="000000"/>
                <w:sz w:val="20"/>
                <w:szCs w:val="20"/>
                <w:u w:val="none"/>
              </w:rPr>
            </w:pPr>
            <w:r>
              <w:rPr>
                <w:rFonts w:hint="eastAsia" w:ascii="楷体" w:hAnsi="楷体" w:eastAsia="楷体" w:cs="楷体"/>
                <w:b/>
                <w:bCs/>
                <w:i w:val="0"/>
                <w:iCs w:val="0"/>
                <w:color w:val="000000"/>
                <w:kern w:val="0"/>
                <w:sz w:val="20"/>
                <w:szCs w:val="20"/>
                <w:u w:val="none"/>
                <w:lang w:val="en-US" w:eastAsia="zh-CN" w:bidi="ar"/>
              </w:rPr>
              <w:t xml:space="preserve"> 道德与法治</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AE4F">
            <w:pPr>
              <w:jc w:val="center"/>
              <w:rPr>
                <w:rFonts w:hint="eastAsia" w:ascii="楷体" w:hAnsi="楷体" w:eastAsia="楷体" w:cs="楷体"/>
                <w:b/>
                <w:bCs/>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40F4">
            <w:pPr>
              <w:keepNext w:val="0"/>
              <w:keepLines w:val="0"/>
              <w:widowControl/>
              <w:suppressLineNumbers w:val="0"/>
              <w:jc w:val="both"/>
              <w:textAlignment w:val="center"/>
              <w:rPr>
                <w:rFonts w:hint="eastAsia" w:ascii="楷体" w:hAnsi="楷体" w:eastAsia="楷体" w:cs="楷体"/>
                <w:b/>
                <w:bCs/>
                <w:i w:val="0"/>
                <w:iCs w:val="0"/>
                <w:color w:val="000000"/>
                <w:sz w:val="20"/>
                <w:szCs w:val="20"/>
                <w:u w:val="none"/>
              </w:rPr>
            </w:pPr>
            <w:r>
              <w:rPr>
                <w:rFonts w:hint="eastAsia" w:ascii="楷体" w:hAnsi="楷体" w:eastAsia="楷体" w:cs="楷体"/>
                <w:b/>
                <w:bCs/>
                <w:i w:val="0"/>
                <w:iCs w:val="0"/>
                <w:color w:val="000000"/>
                <w:kern w:val="0"/>
                <w:sz w:val="20"/>
                <w:szCs w:val="20"/>
                <w:u w:val="none"/>
                <w:lang w:val="en-US" w:eastAsia="zh-CN" w:bidi="ar"/>
              </w:rPr>
              <w:t>语文 数学 英语</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6C73">
            <w:pPr>
              <w:jc w:val="center"/>
              <w:rPr>
                <w:rFonts w:hint="eastAsia" w:ascii="楷体" w:hAnsi="楷体" w:eastAsia="楷体" w:cs="楷体"/>
                <w:b/>
                <w:bCs/>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9EAB">
            <w:pPr>
              <w:keepNext w:val="0"/>
              <w:keepLines w:val="0"/>
              <w:widowControl/>
              <w:suppressLineNumbers w:val="0"/>
              <w:jc w:val="center"/>
              <w:textAlignment w:val="center"/>
              <w:rPr>
                <w:rFonts w:hint="eastAsia" w:ascii="楷体" w:hAnsi="楷体" w:eastAsia="楷体" w:cs="楷体"/>
                <w:b/>
                <w:bCs/>
                <w:i w:val="0"/>
                <w:iCs w:val="0"/>
                <w:color w:val="000000"/>
                <w:sz w:val="20"/>
                <w:szCs w:val="20"/>
                <w:u w:val="none"/>
              </w:rPr>
            </w:pPr>
            <w:r>
              <w:rPr>
                <w:rFonts w:hint="eastAsia" w:ascii="楷体" w:hAnsi="楷体" w:eastAsia="楷体" w:cs="楷体"/>
                <w:b/>
                <w:bCs/>
                <w:i w:val="0"/>
                <w:iCs w:val="0"/>
                <w:color w:val="000000"/>
                <w:kern w:val="0"/>
                <w:sz w:val="20"/>
                <w:szCs w:val="20"/>
                <w:u w:val="none"/>
                <w:lang w:val="en-US" w:eastAsia="zh-CN" w:bidi="ar"/>
              </w:rPr>
              <w:t>体育与健康</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5B54">
            <w:pPr>
              <w:jc w:val="center"/>
              <w:rPr>
                <w:rFonts w:hint="eastAsia" w:ascii="楷体" w:hAnsi="楷体" w:eastAsia="楷体" w:cs="楷体"/>
                <w:b/>
                <w:bCs/>
                <w:i w:val="0"/>
                <w:iCs w:val="0"/>
                <w:color w:val="000000"/>
                <w:sz w:val="20"/>
                <w:szCs w:val="20"/>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A823">
            <w:pPr>
              <w:keepNext w:val="0"/>
              <w:keepLines w:val="0"/>
              <w:widowControl/>
              <w:suppressLineNumbers w:val="0"/>
              <w:jc w:val="center"/>
              <w:textAlignment w:val="center"/>
              <w:rPr>
                <w:rFonts w:hint="eastAsia" w:ascii="楷体" w:hAnsi="楷体" w:eastAsia="楷体" w:cs="楷体"/>
                <w:b/>
                <w:bCs/>
                <w:i w:val="0"/>
                <w:iCs w:val="0"/>
                <w:color w:val="000000"/>
                <w:sz w:val="20"/>
                <w:szCs w:val="20"/>
                <w:u w:val="none"/>
              </w:rPr>
            </w:pPr>
            <w:r>
              <w:rPr>
                <w:rFonts w:hint="eastAsia" w:ascii="楷体" w:hAnsi="楷体" w:eastAsia="楷体" w:cs="楷体"/>
                <w:b/>
                <w:bCs/>
                <w:i w:val="0"/>
                <w:iCs w:val="0"/>
                <w:color w:val="000000"/>
                <w:kern w:val="0"/>
                <w:sz w:val="20"/>
                <w:szCs w:val="20"/>
                <w:u w:val="none"/>
                <w:lang w:val="en-US" w:eastAsia="zh-CN" w:bidi="ar"/>
              </w:rPr>
              <w:t>音乐美术</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0D25">
            <w:pPr>
              <w:jc w:val="center"/>
              <w:rPr>
                <w:rFonts w:hint="eastAsia" w:ascii="楷体" w:hAnsi="楷体" w:eastAsia="楷体" w:cs="楷体"/>
                <w:b/>
                <w:bCs/>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38FE">
            <w:pPr>
              <w:keepNext w:val="0"/>
              <w:keepLines w:val="0"/>
              <w:widowControl/>
              <w:suppressLineNumbers w:val="0"/>
              <w:jc w:val="center"/>
              <w:textAlignment w:val="center"/>
              <w:rPr>
                <w:rFonts w:hint="eastAsia" w:ascii="楷体" w:hAnsi="楷体" w:eastAsia="楷体" w:cs="楷体"/>
                <w:b/>
                <w:bCs/>
                <w:i w:val="0"/>
                <w:iCs w:val="0"/>
                <w:color w:val="000000"/>
                <w:sz w:val="20"/>
                <w:szCs w:val="20"/>
                <w:u w:val="none"/>
              </w:rPr>
            </w:pPr>
            <w:r>
              <w:rPr>
                <w:rFonts w:hint="eastAsia" w:ascii="楷体" w:hAnsi="楷体" w:eastAsia="楷体" w:cs="楷体"/>
                <w:b/>
                <w:bCs/>
                <w:i w:val="0"/>
                <w:iCs w:val="0"/>
                <w:color w:val="000000"/>
                <w:kern w:val="0"/>
                <w:sz w:val="20"/>
                <w:szCs w:val="20"/>
                <w:u w:val="none"/>
                <w:lang w:val="en-US" w:eastAsia="zh-CN" w:bidi="ar"/>
              </w:rPr>
              <w:t>科 学 信 息 劳 动</w:t>
            </w:r>
          </w:p>
        </w:tc>
      </w:tr>
      <w:tr w14:paraId="1763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D236F">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拓展性课程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4D80">
            <w:pPr>
              <w:jc w:val="center"/>
              <w:rPr>
                <w:rFonts w:hint="eastAsia" w:ascii="Arial" w:hAnsi="Arial" w:cs="Arial"/>
                <w:i w:val="0"/>
                <w:iCs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1CA7FC8A">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溪德正心课程</w:t>
            </w:r>
          </w:p>
        </w:tc>
        <w:tc>
          <w:tcPr>
            <w:tcW w:w="240"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0D8906B9">
            <w:pPr>
              <w:jc w:val="center"/>
              <w:rPr>
                <w:rFonts w:hint="default" w:ascii="Arial" w:hAnsi="Arial" w:cs="Arial"/>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1455D835">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溪文墨韵课程</w:t>
            </w:r>
          </w:p>
        </w:tc>
        <w:tc>
          <w:tcPr>
            <w:tcW w:w="240"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4B04AC39">
            <w:pPr>
              <w:jc w:val="center"/>
              <w:rPr>
                <w:rFonts w:hint="default" w:ascii="Arial" w:hAnsi="Arial" w:cs="Arial"/>
                <w:i w:val="0"/>
                <w:iCs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0D18D12A">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溪力奔涌课程</w:t>
            </w:r>
          </w:p>
        </w:tc>
        <w:tc>
          <w:tcPr>
            <w:tcW w:w="222"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743CF967">
            <w:pPr>
              <w:jc w:val="center"/>
              <w:rPr>
                <w:rFonts w:hint="default" w:ascii="Arial" w:hAnsi="Arial" w:cs="Arial"/>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0E8C81C0">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溪音妙乐课程</w:t>
            </w:r>
          </w:p>
        </w:tc>
        <w:tc>
          <w:tcPr>
            <w:tcW w:w="260"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1C53AB5B">
            <w:pPr>
              <w:jc w:val="center"/>
              <w:rPr>
                <w:rFonts w:hint="default" w:ascii="Arial" w:hAnsi="Arial" w:cs="Arial"/>
                <w:i w:val="0"/>
                <w:iCs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68DBE8A7">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溪智科技课程</w:t>
            </w:r>
          </w:p>
        </w:tc>
      </w:tr>
      <w:tr w14:paraId="34E0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182A0">
            <w:pPr>
              <w:jc w:val="center"/>
              <w:rPr>
                <w:rFonts w:hint="eastAsia" w:ascii="黑体" w:hAnsi="宋体" w:eastAsia="黑体" w:cs="黑体"/>
                <w:b/>
                <w:bCs/>
                <w:i w:val="0"/>
                <w:iCs w:val="0"/>
                <w:color w:val="000000"/>
                <w:sz w:val="26"/>
                <w:szCs w:val="26"/>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B681">
            <w:pPr>
              <w:rPr>
                <w:rFonts w:hint="eastAsia" w:ascii="楷体" w:hAnsi="楷体" w:eastAsia="楷体" w:cs="楷体"/>
                <w:b/>
                <w:bCs/>
                <w:i w:val="0"/>
                <w:iCs w:val="0"/>
                <w:color w:val="000000"/>
                <w:sz w:val="26"/>
                <w:szCs w:val="26"/>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777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生命着色基础德育课程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9668">
            <w:pPr>
              <w:jc w:val="center"/>
              <w:rPr>
                <w:rFonts w:hint="eastAsia" w:ascii="楷体" w:hAnsi="楷体" w:eastAsia="楷体" w:cs="楷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53C3">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Style w:val="13"/>
                <w:sz w:val="21"/>
                <w:szCs w:val="21"/>
                <w:lang w:val="en-US" w:eastAsia="zh-CN" w:bidi="ar"/>
              </w:rPr>
              <w:t>辞海遨游课程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6294">
            <w:pPr>
              <w:jc w:val="center"/>
              <w:rPr>
                <w:rFonts w:hint="eastAsia" w:ascii="楷体" w:hAnsi="楷体" w:eastAsia="楷体" w:cs="楷体"/>
                <w:b/>
                <w:bCs/>
                <w:i w:val="0"/>
                <w:iCs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CF2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校园足球课程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253C">
            <w:pPr>
              <w:jc w:val="center"/>
              <w:rPr>
                <w:rFonts w:hint="eastAsia" w:ascii="楷体" w:hAnsi="楷体" w:eastAsia="楷体" w:cs="楷体"/>
                <w:b/>
                <w:bCs/>
                <w:i w:val="0"/>
                <w:iCs w:val="0"/>
                <w:color w:val="000000"/>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E928">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声声不息</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D962">
            <w:pPr>
              <w:jc w:val="center"/>
              <w:rPr>
                <w:rFonts w:hint="eastAsia" w:ascii="楷体" w:hAnsi="楷体" w:eastAsia="楷体" w:cs="楷体"/>
                <w:b/>
                <w:bCs/>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1C76">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科学实验课程</w:t>
            </w:r>
          </w:p>
        </w:tc>
      </w:tr>
      <w:tr w14:paraId="25EF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7E063">
            <w:pPr>
              <w:jc w:val="center"/>
              <w:rPr>
                <w:rFonts w:hint="eastAsia" w:ascii="黑体" w:hAnsi="宋体" w:eastAsia="黑体" w:cs="黑体"/>
                <w:b/>
                <w:bCs/>
                <w:i w:val="0"/>
                <w:iCs w:val="0"/>
                <w:color w:val="000000"/>
                <w:sz w:val="26"/>
                <w:szCs w:val="26"/>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A0DB">
            <w:pPr>
              <w:rPr>
                <w:rFonts w:hint="eastAsia" w:ascii="楷体" w:hAnsi="楷体" w:eastAsia="楷体" w:cs="楷体"/>
                <w:b/>
                <w:bCs/>
                <w:i w:val="0"/>
                <w:iCs w:val="0"/>
                <w:color w:val="000000"/>
                <w:sz w:val="26"/>
                <w:szCs w:val="26"/>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97D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入学、成长、毕业礼课程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3B53">
            <w:pPr>
              <w:jc w:val="center"/>
              <w:rPr>
                <w:rFonts w:hint="eastAsia" w:ascii="楷体" w:hAnsi="楷体" w:eastAsia="楷体" w:cs="楷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DC05">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可以玩的飞花令</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471E">
            <w:pPr>
              <w:jc w:val="center"/>
              <w:rPr>
                <w:rFonts w:hint="eastAsia" w:ascii="楷体" w:hAnsi="楷体" w:eastAsia="楷体" w:cs="楷体"/>
                <w:b/>
                <w:bCs/>
                <w:i w:val="0"/>
                <w:iCs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9686">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校园篮球课程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9ED4">
            <w:pPr>
              <w:jc w:val="center"/>
              <w:rPr>
                <w:rFonts w:hint="eastAsia" w:ascii="楷体" w:hAnsi="楷体" w:eastAsia="楷体" w:cs="楷体"/>
                <w:b/>
                <w:bCs/>
                <w:i w:val="0"/>
                <w:iCs w:val="0"/>
                <w:color w:val="000000"/>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600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琴声悠扬课程</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12AE">
            <w:pPr>
              <w:jc w:val="center"/>
              <w:rPr>
                <w:rFonts w:hint="eastAsia" w:ascii="楷体" w:hAnsi="楷体" w:eastAsia="楷体" w:cs="楷体"/>
                <w:b/>
                <w:bCs/>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4D3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科学梦工厂课程</w:t>
            </w:r>
          </w:p>
        </w:tc>
      </w:tr>
      <w:tr w14:paraId="2A111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C542F">
            <w:pPr>
              <w:jc w:val="center"/>
              <w:rPr>
                <w:rFonts w:hint="eastAsia" w:ascii="黑体" w:hAnsi="宋体" w:eastAsia="黑体" w:cs="黑体"/>
                <w:b/>
                <w:bCs/>
                <w:i w:val="0"/>
                <w:iCs w:val="0"/>
                <w:color w:val="000000"/>
                <w:sz w:val="26"/>
                <w:szCs w:val="26"/>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3725">
            <w:pPr>
              <w:jc w:val="center"/>
              <w:rPr>
                <w:rFonts w:hint="default" w:ascii="Arial" w:hAnsi="Arial" w:cs="Arial"/>
                <w:i w:val="0"/>
                <w:iCs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4933E56F">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溪德正身课程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F3C4">
            <w:pPr>
              <w:jc w:val="center"/>
              <w:rPr>
                <w:rFonts w:hint="eastAsia" w:ascii="楷体" w:hAnsi="楷体" w:eastAsia="楷体" w:cs="楷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F15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整本书阅读课程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7797">
            <w:pPr>
              <w:jc w:val="center"/>
              <w:rPr>
                <w:rFonts w:hint="eastAsia" w:ascii="楷体" w:hAnsi="楷体" w:eastAsia="楷体" w:cs="楷体"/>
                <w:b/>
                <w:bCs/>
                <w:i w:val="0"/>
                <w:iCs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4C1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校园游泳课程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9726">
            <w:pPr>
              <w:jc w:val="center"/>
              <w:rPr>
                <w:rFonts w:hint="eastAsia" w:ascii="楷体" w:hAnsi="楷体" w:eastAsia="楷体" w:cs="楷体"/>
                <w:b/>
                <w:bCs/>
                <w:i w:val="0"/>
                <w:iCs w:val="0"/>
                <w:color w:val="000000"/>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EE6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梦舞飞扬课程</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3B9E">
            <w:pPr>
              <w:jc w:val="center"/>
              <w:rPr>
                <w:rFonts w:hint="eastAsia" w:ascii="楷体" w:hAnsi="楷体" w:eastAsia="楷体" w:cs="楷体"/>
                <w:b/>
                <w:bCs/>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E45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科技创意课程</w:t>
            </w:r>
          </w:p>
        </w:tc>
      </w:tr>
      <w:tr w14:paraId="6EE31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1FC61">
            <w:pPr>
              <w:jc w:val="center"/>
              <w:rPr>
                <w:rFonts w:hint="eastAsia" w:ascii="黑体" w:hAnsi="宋体" w:eastAsia="黑体" w:cs="黑体"/>
                <w:b/>
                <w:bCs/>
                <w:i w:val="0"/>
                <w:iCs w:val="0"/>
                <w:color w:val="000000"/>
                <w:sz w:val="26"/>
                <w:szCs w:val="26"/>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DF3B">
            <w:pPr>
              <w:rPr>
                <w:rFonts w:hint="eastAsia" w:ascii="楷体" w:hAnsi="楷体" w:eastAsia="楷体" w:cs="楷体"/>
                <w:i w:val="0"/>
                <w:iCs w:val="0"/>
                <w:color w:val="000000"/>
                <w:sz w:val="26"/>
                <w:szCs w:val="26"/>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85A2">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 xml:space="preserve"> 阳光活动课程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B477">
            <w:pPr>
              <w:jc w:val="center"/>
              <w:rPr>
                <w:rFonts w:hint="eastAsia" w:ascii="楷体" w:hAnsi="楷体" w:eastAsia="楷体" w:cs="楷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49B0">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主题类文阅读课程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A251">
            <w:pPr>
              <w:jc w:val="center"/>
              <w:rPr>
                <w:rFonts w:hint="eastAsia" w:ascii="楷体" w:hAnsi="楷体" w:eastAsia="楷体" w:cs="楷体"/>
                <w:b/>
                <w:bCs/>
                <w:i w:val="0"/>
                <w:iCs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ECD5">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校园网球课程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8C44">
            <w:pPr>
              <w:jc w:val="center"/>
              <w:rPr>
                <w:rFonts w:hint="eastAsia" w:ascii="楷体" w:hAnsi="楷体" w:eastAsia="楷体" w:cs="楷体"/>
                <w:b/>
                <w:bCs/>
                <w:i w:val="0"/>
                <w:iCs w:val="0"/>
                <w:color w:val="000000"/>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A6C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Style w:val="15"/>
                <w:sz w:val="21"/>
                <w:szCs w:val="21"/>
                <w:lang w:val="en-US" w:eastAsia="zh-CN" w:bidi="ar"/>
              </w:rPr>
              <w:t>中国戏剧欣赏课程</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C91C">
            <w:pPr>
              <w:jc w:val="center"/>
              <w:rPr>
                <w:rFonts w:hint="eastAsia" w:ascii="楷体" w:hAnsi="楷体" w:eastAsia="楷体" w:cs="楷体"/>
                <w:b/>
                <w:bCs/>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708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智能机器人课程</w:t>
            </w:r>
          </w:p>
        </w:tc>
      </w:tr>
      <w:tr w14:paraId="6A1C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83542">
            <w:pPr>
              <w:jc w:val="center"/>
              <w:rPr>
                <w:rFonts w:hint="eastAsia" w:ascii="黑体" w:hAnsi="宋体" w:eastAsia="黑体" w:cs="黑体"/>
                <w:b/>
                <w:bCs/>
                <w:i w:val="0"/>
                <w:iCs w:val="0"/>
                <w:color w:val="000000"/>
                <w:sz w:val="26"/>
                <w:szCs w:val="26"/>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6992">
            <w:pPr>
              <w:rPr>
                <w:rFonts w:hint="default" w:ascii="Arial" w:hAnsi="Arial" w:cs="Arial"/>
                <w:i w:val="0"/>
                <w:iCs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C721">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向阳花开课程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25CF">
            <w:pPr>
              <w:jc w:val="center"/>
              <w:rPr>
                <w:rFonts w:hint="eastAsia" w:ascii="楷体" w:hAnsi="楷体" w:eastAsia="楷体" w:cs="楷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B52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聆听与演讲课程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B06C">
            <w:pPr>
              <w:jc w:val="center"/>
              <w:rPr>
                <w:rFonts w:hint="eastAsia" w:ascii="楷体" w:hAnsi="楷体" w:eastAsia="楷体" w:cs="楷体"/>
                <w:b/>
                <w:bCs/>
                <w:i w:val="0"/>
                <w:iCs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3617">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校园乒乓球课程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E464">
            <w:pPr>
              <w:jc w:val="center"/>
              <w:rPr>
                <w:rFonts w:hint="default" w:ascii="Arial" w:hAnsi="Arial" w:cs="Arial"/>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54F46649">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溪韵彩墨课程</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8A12">
            <w:pPr>
              <w:jc w:val="center"/>
              <w:rPr>
                <w:rFonts w:hint="eastAsia" w:ascii="楷体" w:hAnsi="楷体" w:eastAsia="楷体" w:cs="楷体"/>
                <w:b/>
                <w:bCs/>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0292">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Style w:val="16"/>
                <w:rFonts w:eastAsia="宋体"/>
                <w:sz w:val="21"/>
                <w:szCs w:val="21"/>
                <w:lang w:val="en-US" w:eastAsia="zh-CN" w:bidi="ar"/>
              </w:rPr>
              <w:t>AI</w:t>
            </w:r>
            <w:r>
              <w:rPr>
                <w:rStyle w:val="17"/>
                <w:sz w:val="21"/>
                <w:szCs w:val="21"/>
                <w:lang w:val="en-US" w:eastAsia="zh-CN" w:bidi="ar"/>
              </w:rPr>
              <w:t>应用</w:t>
            </w:r>
            <w:r>
              <w:rPr>
                <w:rStyle w:val="15"/>
                <w:sz w:val="21"/>
                <w:szCs w:val="21"/>
                <w:lang w:val="en-US" w:eastAsia="zh-CN" w:bidi="ar"/>
              </w:rPr>
              <w:t>课程</w:t>
            </w:r>
          </w:p>
        </w:tc>
      </w:tr>
      <w:tr w14:paraId="19A6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CBBDA">
            <w:pPr>
              <w:jc w:val="center"/>
              <w:rPr>
                <w:rFonts w:hint="eastAsia" w:ascii="黑体" w:hAnsi="宋体" w:eastAsia="黑体" w:cs="黑体"/>
                <w:b/>
                <w:bCs/>
                <w:i w:val="0"/>
                <w:iCs w:val="0"/>
                <w:color w:val="000000"/>
                <w:sz w:val="26"/>
                <w:szCs w:val="26"/>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DEBB">
            <w:pPr>
              <w:jc w:val="center"/>
              <w:rPr>
                <w:rFonts w:hint="default" w:ascii="Arial" w:hAnsi="Arial" w:cs="Arial"/>
                <w:i w:val="0"/>
                <w:iCs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5F25EB10">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溪德正气课程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77EA">
            <w:pPr>
              <w:jc w:val="center"/>
              <w:rPr>
                <w:rFonts w:hint="default" w:ascii="Arial" w:hAnsi="Arial" w:cs="Arial"/>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0FC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梦想情景剧课程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CC1C">
            <w:pPr>
              <w:jc w:val="center"/>
              <w:rPr>
                <w:rFonts w:hint="eastAsia" w:ascii="楷体" w:hAnsi="楷体" w:eastAsia="楷体" w:cs="楷体"/>
                <w:b/>
                <w:bCs/>
                <w:i w:val="0"/>
                <w:iCs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0DF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校园羽毛球课程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5D56">
            <w:pPr>
              <w:jc w:val="center"/>
              <w:rPr>
                <w:rFonts w:hint="eastAsia" w:ascii="楷体" w:hAnsi="楷体" w:eastAsia="楷体" w:cs="楷体"/>
                <w:b/>
                <w:bCs/>
                <w:i w:val="0"/>
                <w:iCs w:val="0"/>
                <w:color w:val="000000"/>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F14E">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绘声绘色课程</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501C">
            <w:pPr>
              <w:jc w:val="center"/>
              <w:rPr>
                <w:rFonts w:hint="eastAsia" w:ascii="楷体" w:hAnsi="楷体" w:eastAsia="楷体" w:cs="楷体"/>
                <w:b/>
                <w:bCs/>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8BF9">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创意编程课程</w:t>
            </w:r>
          </w:p>
        </w:tc>
      </w:tr>
      <w:tr w14:paraId="452AC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820CE">
            <w:pPr>
              <w:jc w:val="center"/>
              <w:rPr>
                <w:rFonts w:hint="eastAsia" w:ascii="黑体" w:hAnsi="宋体" w:eastAsia="黑体" w:cs="黑体"/>
                <w:b/>
                <w:bCs/>
                <w:i w:val="0"/>
                <w:iCs w:val="0"/>
                <w:color w:val="000000"/>
                <w:sz w:val="26"/>
                <w:szCs w:val="26"/>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1B7F">
            <w:pPr>
              <w:rPr>
                <w:rFonts w:hint="eastAsia" w:ascii="楷体" w:hAnsi="楷体" w:eastAsia="楷体" w:cs="楷体"/>
                <w:b/>
                <w:bCs/>
                <w:i w:val="0"/>
                <w:iCs w:val="0"/>
                <w:color w:val="000000"/>
                <w:sz w:val="26"/>
                <w:szCs w:val="26"/>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F7B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 xml:space="preserve"> 研学旅行课程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4A27">
            <w:pPr>
              <w:jc w:val="center"/>
              <w:rPr>
                <w:rFonts w:hint="eastAsia" w:ascii="楷体" w:hAnsi="楷体" w:eastAsia="楷体" w:cs="楷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1444AF12">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溪数灵韵课程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27CE">
            <w:pPr>
              <w:jc w:val="center"/>
              <w:rPr>
                <w:rFonts w:hint="eastAsia" w:ascii="楷体" w:hAnsi="楷体" w:eastAsia="楷体" w:cs="楷体"/>
                <w:b/>
                <w:bCs/>
                <w:i w:val="0"/>
                <w:iCs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8666">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花样跳绳课程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A560">
            <w:pPr>
              <w:jc w:val="center"/>
              <w:rPr>
                <w:rFonts w:hint="eastAsia" w:ascii="楷体" w:hAnsi="楷体" w:eastAsia="楷体" w:cs="楷体"/>
                <w:b/>
                <w:bCs/>
                <w:i w:val="0"/>
                <w:iCs w:val="0"/>
                <w:color w:val="000000"/>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0080">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千编万化</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BD30">
            <w:pPr>
              <w:jc w:val="center"/>
              <w:rPr>
                <w:rFonts w:hint="default" w:ascii="Arial" w:hAnsi="Arial" w:cs="Arial"/>
                <w:i w:val="0"/>
                <w:iCs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7FE396A4">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溪美生态课程</w:t>
            </w:r>
          </w:p>
        </w:tc>
      </w:tr>
      <w:tr w14:paraId="1A36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F6864">
            <w:pPr>
              <w:jc w:val="center"/>
              <w:rPr>
                <w:rFonts w:hint="eastAsia" w:ascii="黑体" w:hAnsi="宋体" w:eastAsia="黑体" w:cs="黑体"/>
                <w:b/>
                <w:bCs/>
                <w:i w:val="0"/>
                <w:iCs w:val="0"/>
                <w:color w:val="000000"/>
                <w:sz w:val="26"/>
                <w:szCs w:val="26"/>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A198">
            <w:pPr>
              <w:rPr>
                <w:rFonts w:hint="eastAsia" w:ascii="楷体" w:hAnsi="楷体" w:eastAsia="楷体" w:cs="楷体"/>
                <w:i w:val="0"/>
                <w:iCs w:val="0"/>
                <w:color w:val="000000"/>
                <w:sz w:val="26"/>
                <w:szCs w:val="26"/>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EA8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 xml:space="preserve"> 生命亮色德育实践课程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C87B">
            <w:pPr>
              <w:jc w:val="center"/>
              <w:rPr>
                <w:rFonts w:hint="eastAsia" w:ascii="楷体" w:hAnsi="楷体" w:eastAsia="楷体" w:cs="楷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400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Style w:val="15"/>
                <w:sz w:val="21"/>
                <w:szCs w:val="21"/>
                <w:lang w:val="en-US" w:eastAsia="zh-CN" w:bidi="ar"/>
              </w:rPr>
              <w:t>数学阅读课程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04E4">
            <w:pPr>
              <w:jc w:val="center"/>
              <w:rPr>
                <w:rFonts w:hint="eastAsia" w:ascii="楷体" w:hAnsi="楷体" w:eastAsia="楷体" w:cs="楷体"/>
                <w:b/>
                <w:bCs/>
                <w:i w:val="0"/>
                <w:iCs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EAD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Style w:val="15"/>
                <w:sz w:val="21"/>
                <w:szCs w:val="21"/>
                <w:lang w:val="en-US" w:eastAsia="zh-CN" w:bidi="ar"/>
              </w:rPr>
              <w:t>体育游戏课程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FAE9">
            <w:pPr>
              <w:jc w:val="center"/>
              <w:rPr>
                <w:rFonts w:hint="eastAsia" w:ascii="楷体" w:hAnsi="楷体" w:eastAsia="楷体" w:cs="楷体"/>
                <w:b/>
                <w:bCs/>
                <w:i w:val="0"/>
                <w:iCs w:val="0"/>
                <w:color w:val="000000"/>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CB2C">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版画</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4EAD">
            <w:pPr>
              <w:jc w:val="center"/>
              <w:rPr>
                <w:rFonts w:hint="default" w:ascii="Arial" w:hAnsi="Arial" w:cs="Arial"/>
                <w:i w:val="0"/>
                <w:iCs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7A2D">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 xml:space="preserve"> 耕趣横生课程</w:t>
            </w:r>
          </w:p>
        </w:tc>
      </w:tr>
      <w:tr w14:paraId="4D32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6F63C">
            <w:pPr>
              <w:jc w:val="center"/>
              <w:rPr>
                <w:rFonts w:hint="eastAsia" w:ascii="黑体" w:hAnsi="宋体" w:eastAsia="黑体" w:cs="黑体"/>
                <w:b/>
                <w:bCs/>
                <w:i w:val="0"/>
                <w:iCs w:val="0"/>
                <w:color w:val="000000"/>
                <w:sz w:val="26"/>
                <w:szCs w:val="26"/>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6A09">
            <w:pPr>
              <w:jc w:val="center"/>
              <w:rPr>
                <w:rFonts w:hint="default" w:ascii="Arial" w:hAnsi="Arial" w:cs="Arial"/>
                <w:i w:val="0"/>
                <w:iCs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038784F6">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溪德家育课程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8FF6">
            <w:pPr>
              <w:jc w:val="center"/>
              <w:rPr>
                <w:rFonts w:hint="default" w:ascii="Arial" w:hAnsi="Arial" w:cs="Arial"/>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DF5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思维体操课程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B7EC">
            <w:pPr>
              <w:jc w:val="center"/>
              <w:rPr>
                <w:rFonts w:hint="eastAsia" w:ascii="楷体" w:hAnsi="楷体" w:eastAsia="楷体" w:cs="楷体"/>
                <w:b/>
                <w:bCs/>
                <w:i w:val="0"/>
                <w:iCs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F89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阳光韵律操课程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8701">
            <w:pPr>
              <w:jc w:val="center"/>
              <w:rPr>
                <w:rFonts w:hint="eastAsia" w:ascii="楷体" w:hAnsi="楷体" w:eastAsia="楷体" w:cs="楷体"/>
                <w:b/>
                <w:bCs/>
                <w:i w:val="0"/>
                <w:iCs w:val="0"/>
                <w:color w:val="000000"/>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D5CC">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剪纸入门课程</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BA50">
            <w:pPr>
              <w:jc w:val="center"/>
              <w:rPr>
                <w:rFonts w:hint="default" w:ascii="Arial" w:hAnsi="Arial" w:cs="Arial"/>
                <w:i w:val="0"/>
                <w:iCs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4D2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二十四节气课程</w:t>
            </w:r>
          </w:p>
        </w:tc>
      </w:tr>
      <w:tr w14:paraId="666BA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43855">
            <w:pPr>
              <w:jc w:val="center"/>
              <w:rPr>
                <w:rFonts w:hint="eastAsia" w:ascii="黑体" w:hAnsi="宋体" w:eastAsia="黑体" w:cs="黑体"/>
                <w:b/>
                <w:bCs/>
                <w:i w:val="0"/>
                <w:iCs w:val="0"/>
                <w:color w:val="000000"/>
                <w:sz w:val="26"/>
                <w:szCs w:val="26"/>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3315">
            <w:pPr>
              <w:rPr>
                <w:rFonts w:hint="eastAsia" w:ascii="楷体" w:hAnsi="楷体" w:eastAsia="楷体" w:cs="楷体"/>
                <w:b/>
                <w:bCs/>
                <w:i w:val="0"/>
                <w:iCs w:val="0"/>
                <w:color w:val="000000"/>
                <w:sz w:val="26"/>
                <w:szCs w:val="26"/>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66E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家长成长课程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7CDD">
            <w:pPr>
              <w:jc w:val="center"/>
              <w:rPr>
                <w:rFonts w:hint="default" w:ascii="Arial" w:hAnsi="Arial" w:cs="Arial"/>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7CE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益智游戏课程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DA6C">
            <w:pPr>
              <w:jc w:val="center"/>
              <w:rPr>
                <w:rFonts w:hint="eastAsia" w:ascii="楷体" w:hAnsi="楷体" w:eastAsia="楷体" w:cs="楷体"/>
                <w:b/>
                <w:bCs/>
                <w:i w:val="0"/>
                <w:iCs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D11D">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近视防控课程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B260">
            <w:pPr>
              <w:jc w:val="center"/>
              <w:rPr>
                <w:rFonts w:hint="eastAsia" w:ascii="楷体" w:hAnsi="楷体" w:eastAsia="楷体" w:cs="楷体"/>
                <w:b/>
                <w:bCs/>
                <w:i w:val="0"/>
                <w:iCs w:val="0"/>
                <w:color w:val="000000"/>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A9AB">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Style w:val="15"/>
                <w:sz w:val="21"/>
                <w:szCs w:val="21"/>
                <w:lang w:val="en-US" w:eastAsia="zh-CN" w:bidi="ar"/>
              </w:rPr>
              <w:t>梦之泥创意课程</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C133">
            <w:pPr>
              <w:jc w:val="center"/>
              <w:rPr>
                <w:rFonts w:hint="eastAsia" w:ascii="楷体" w:hAnsi="楷体" w:eastAsia="楷体" w:cs="楷体"/>
                <w:b/>
                <w:bCs/>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730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兴趣自然昆虫课程</w:t>
            </w:r>
          </w:p>
        </w:tc>
      </w:tr>
      <w:tr w14:paraId="3C06A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23574">
            <w:pPr>
              <w:jc w:val="center"/>
              <w:rPr>
                <w:rFonts w:hint="eastAsia" w:ascii="黑体" w:hAnsi="宋体" w:eastAsia="黑体" w:cs="黑体"/>
                <w:b/>
                <w:bCs/>
                <w:i w:val="0"/>
                <w:iCs w:val="0"/>
                <w:color w:val="000000"/>
                <w:sz w:val="26"/>
                <w:szCs w:val="26"/>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F36F">
            <w:pPr>
              <w:rPr>
                <w:rFonts w:hint="default" w:ascii="Arial" w:hAnsi="Arial" w:cs="Arial"/>
                <w:i w:val="0"/>
                <w:iCs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B73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Style w:val="15"/>
                <w:sz w:val="21"/>
                <w:szCs w:val="21"/>
                <w:lang w:val="en-US" w:eastAsia="zh-CN" w:bidi="ar"/>
              </w:rPr>
              <w:t>家校共育课程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FA51">
            <w:pPr>
              <w:jc w:val="center"/>
              <w:rPr>
                <w:rFonts w:hint="eastAsia" w:ascii="楷体" w:hAnsi="楷体" w:eastAsia="楷体" w:cs="楷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5F75568B">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溪英潺韵课程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B220">
            <w:pPr>
              <w:jc w:val="center"/>
              <w:rPr>
                <w:rFonts w:hint="eastAsia" w:ascii="楷体" w:hAnsi="楷体" w:eastAsia="楷体" w:cs="楷体"/>
                <w:i w:val="0"/>
                <w:iCs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9E8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Style w:val="15"/>
                <w:sz w:val="21"/>
                <w:szCs w:val="21"/>
                <w:lang w:val="en-US" w:eastAsia="zh-CN" w:bidi="ar"/>
              </w:rPr>
              <w:t>中国武术课程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9EB6">
            <w:pPr>
              <w:jc w:val="center"/>
              <w:rPr>
                <w:rFonts w:hint="eastAsia" w:ascii="楷体" w:hAnsi="楷体" w:eastAsia="楷体" w:cs="楷体"/>
                <w:b/>
                <w:bCs/>
                <w:i w:val="0"/>
                <w:iCs w:val="0"/>
                <w:color w:val="000000"/>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4D9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品鉴华夏丹青课程</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40EA">
            <w:pPr>
              <w:jc w:val="center"/>
              <w:rPr>
                <w:rFonts w:hint="eastAsia" w:ascii="楷体" w:hAnsi="楷体" w:eastAsia="楷体" w:cs="楷体"/>
                <w:b/>
                <w:bCs/>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8A72">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朵朵葵花向阳开课程</w:t>
            </w:r>
          </w:p>
        </w:tc>
      </w:tr>
      <w:tr w14:paraId="6BB1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EDE37">
            <w:pPr>
              <w:jc w:val="center"/>
              <w:rPr>
                <w:rFonts w:hint="eastAsia" w:ascii="黑体" w:hAnsi="宋体" w:eastAsia="黑体" w:cs="黑体"/>
                <w:b/>
                <w:bCs/>
                <w:i w:val="0"/>
                <w:iCs w:val="0"/>
                <w:color w:val="000000"/>
                <w:sz w:val="26"/>
                <w:szCs w:val="26"/>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F0D3">
            <w:pPr>
              <w:rPr>
                <w:rFonts w:hint="default" w:ascii="Arial" w:hAnsi="Arial" w:cs="Arial"/>
                <w:i w:val="0"/>
                <w:iCs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4892">
            <w:pPr>
              <w:jc w:val="center"/>
              <w:rPr>
                <w:rFonts w:hint="default" w:ascii="Arial" w:hAnsi="Arial" w:cs="Arial"/>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A376">
            <w:pPr>
              <w:jc w:val="center"/>
              <w:rPr>
                <w:rFonts w:hint="eastAsia" w:ascii="楷体" w:hAnsi="楷体" w:eastAsia="楷体" w:cs="楷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6DF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Style w:val="15"/>
                <w:sz w:val="21"/>
                <w:szCs w:val="21"/>
                <w:lang w:val="en-US" w:eastAsia="zh-CN" w:bidi="ar"/>
              </w:rPr>
              <w:t>英语动漫课程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354D">
            <w:pPr>
              <w:jc w:val="center"/>
              <w:rPr>
                <w:rFonts w:hint="default" w:ascii="Arial" w:hAnsi="Arial" w:cs="Arial"/>
                <w:i w:val="0"/>
                <w:iCs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00B0F0"/>
            <w:vAlign w:val="center"/>
          </w:tcPr>
          <w:p w14:paraId="66F5F9BC">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溪语心澜课程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CC33">
            <w:pPr>
              <w:jc w:val="center"/>
              <w:rPr>
                <w:rFonts w:hint="eastAsia" w:ascii="楷体" w:hAnsi="楷体" w:eastAsia="楷体" w:cs="楷体"/>
                <w:b/>
                <w:bCs/>
                <w:i w:val="0"/>
                <w:iCs w:val="0"/>
                <w:color w:val="000000"/>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2DA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Style w:val="15"/>
                <w:sz w:val="21"/>
                <w:szCs w:val="21"/>
                <w:lang w:val="en-US" w:eastAsia="zh-CN" w:bidi="ar"/>
              </w:rPr>
              <w:t>棋在指尖课程</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852F">
            <w:pPr>
              <w:jc w:val="center"/>
              <w:rPr>
                <w:rFonts w:hint="eastAsia" w:ascii="楷体" w:hAnsi="楷体" w:eastAsia="楷体" w:cs="楷体"/>
                <w:b/>
                <w:bCs/>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80C7">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 xml:space="preserve">舌尖上的美食课程 </w:t>
            </w:r>
          </w:p>
        </w:tc>
      </w:tr>
      <w:tr w14:paraId="4E1D4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EAE5C">
            <w:pPr>
              <w:jc w:val="center"/>
              <w:rPr>
                <w:rFonts w:hint="eastAsia" w:ascii="黑体" w:hAnsi="宋体" w:eastAsia="黑体" w:cs="黑体"/>
                <w:b/>
                <w:bCs/>
                <w:i w:val="0"/>
                <w:iCs w:val="0"/>
                <w:color w:val="000000"/>
                <w:sz w:val="26"/>
                <w:szCs w:val="26"/>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8443">
            <w:pPr>
              <w:rPr>
                <w:rFonts w:hint="eastAsia" w:ascii="楷体" w:hAnsi="楷体" w:eastAsia="楷体" w:cs="楷体"/>
                <w:b/>
                <w:bCs/>
                <w:i w:val="0"/>
                <w:iCs w:val="0"/>
                <w:color w:val="000000"/>
                <w:sz w:val="26"/>
                <w:szCs w:val="26"/>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1388">
            <w:pPr>
              <w:jc w:val="center"/>
              <w:rPr>
                <w:rFonts w:hint="default" w:ascii="Arial" w:hAnsi="Arial" w:cs="Arial"/>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2B60">
            <w:pPr>
              <w:jc w:val="center"/>
              <w:rPr>
                <w:rFonts w:hint="default" w:ascii="Arial" w:hAnsi="Arial" w:cs="Arial"/>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240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Style w:val="15"/>
                <w:sz w:val="21"/>
                <w:szCs w:val="21"/>
                <w:lang w:val="en-US" w:eastAsia="zh-CN" w:bidi="ar"/>
              </w:rPr>
              <w:t>英语读写绘课程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8ECD">
            <w:pPr>
              <w:jc w:val="center"/>
              <w:rPr>
                <w:rFonts w:hint="eastAsia" w:ascii="楷体" w:hAnsi="楷体" w:eastAsia="楷体" w:cs="楷体"/>
                <w:b/>
                <w:bCs/>
                <w:i w:val="0"/>
                <w:iCs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CA3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Style w:val="15"/>
                <w:sz w:val="21"/>
                <w:szCs w:val="21"/>
                <w:lang w:val="en-US" w:eastAsia="zh-CN" w:bidi="ar"/>
              </w:rPr>
              <w:t>自我认识课程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C47E">
            <w:pPr>
              <w:jc w:val="center"/>
              <w:rPr>
                <w:rFonts w:hint="eastAsia" w:ascii="楷体" w:hAnsi="楷体" w:eastAsia="楷体" w:cs="楷体"/>
                <w:b/>
                <w:bCs/>
                <w:i w:val="0"/>
                <w:iCs w:val="0"/>
                <w:color w:val="000000"/>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D27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翰墨书法课程</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02A6">
            <w:pPr>
              <w:jc w:val="center"/>
              <w:rPr>
                <w:rFonts w:hint="eastAsia" w:ascii="楷体" w:hAnsi="楷体" w:eastAsia="楷体" w:cs="楷体"/>
                <w:b/>
                <w:bCs/>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848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低碳生活课程</w:t>
            </w:r>
          </w:p>
        </w:tc>
      </w:tr>
      <w:tr w14:paraId="7EF7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1990E">
            <w:pPr>
              <w:jc w:val="center"/>
              <w:rPr>
                <w:rFonts w:hint="eastAsia" w:ascii="黑体" w:hAnsi="宋体" w:eastAsia="黑体" w:cs="黑体"/>
                <w:b/>
                <w:bCs/>
                <w:i w:val="0"/>
                <w:iCs w:val="0"/>
                <w:color w:val="000000"/>
                <w:sz w:val="26"/>
                <w:szCs w:val="26"/>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E112">
            <w:pPr>
              <w:rPr>
                <w:rFonts w:hint="default" w:ascii="Arial" w:hAnsi="Arial" w:cs="Arial"/>
                <w:i w:val="0"/>
                <w:iCs w:val="0"/>
                <w:color w:val="000000"/>
                <w:sz w:val="26"/>
                <w:szCs w:val="26"/>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45A0">
            <w:pPr>
              <w:jc w:val="center"/>
              <w:rPr>
                <w:rFonts w:hint="eastAsia" w:ascii="楷体" w:hAnsi="楷体" w:eastAsia="楷体" w:cs="楷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3EFC">
            <w:pPr>
              <w:jc w:val="center"/>
              <w:rPr>
                <w:rFonts w:hint="eastAsia" w:ascii="楷体" w:hAnsi="楷体" w:eastAsia="楷体" w:cs="楷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2AF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Style w:val="15"/>
                <w:sz w:val="21"/>
                <w:szCs w:val="21"/>
                <w:lang w:val="en-US" w:eastAsia="zh-CN" w:bidi="ar"/>
              </w:rPr>
              <w:t>中情英韵课程</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4D64">
            <w:pPr>
              <w:jc w:val="center"/>
              <w:rPr>
                <w:rFonts w:hint="eastAsia" w:ascii="楷体" w:hAnsi="楷体" w:eastAsia="楷体" w:cs="楷体"/>
                <w:b/>
                <w:bCs/>
                <w:i w:val="0"/>
                <w:iCs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26E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Style w:val="15"/>
                <w:sz w:val="21"/>
                <w:szCs w:val="21"/>
                <w:lang w:val="en-US" w:eastAsia="zh-CN" w:bidi="ar"/>
              </w:rPr>
              <w:t>人际交往课程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4FBF">
            <w:pPr>
              <w:jc w:val="center"/>
              <w:rPr>
                <w:rFonts w:hint="default" w:ascii="Arial" w:hAnsi="Arial" w:cs="Arial"/>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C336">
            <w:pPr>
              <w:keepNext w:val="0"/>
              <w:keepLines w:val="0"/>
              <w:widowControl/>
              <w:suppressLineNumbers w:val="0"/>
              <w:jc w:val="center"/>
              <w:textAlignment w:val="center"/>
              <w:rPr>
                <w:rFonts w:hint="eastAsia" w:ascii="楷体" w:hAnsi="楷体" w:eastAsia="楷体" w:cs="楷体"/>
                <w:i w:val="0"/>
                <w:iCs w:val="0"/>
                <w:color w:val="FF0000"/>
                <w:sz w:val="21"/>
                <w:szCs w:val="21"/>
                <w:u w:val="none"/>
              </w:rPr>
            </w:pPr>
            <w:r>
              <w:rPr>
                <w:rFonts w:hint="eastAsia" w:ascii="楷体" w:hAnsi="楷体" w:eastAsia="楷体" w:cs="楷体"/>
                <w:i w:val="0"/>
                <w:iCs w:val="0"/>
                <w:color w:val="FF0000"/>
                <w:kern w:val="0"/>
                <w:sz w:val="21"/>
                <w:szCs w:val="21"/>
                <w:u w:val="none"/>
                <w:lang w:val="en-US" w:eastAsia="zh-CN" w:bidi="ar"/>
              </w:rPr>
              <w:t>线描画</w:t>
            </w: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0492">
            <w:pPr>
              <w:jc w:val="center"/>
              <w:rPr>
                <w:rFonts w:hint="eastAsia" w:ascii="楷体" w:hAnsi="楷体" w:eastAsia="楷体" w:cs="楷体"/>
                <w:b/>
                <w:bCs/>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34F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四季寻芳课程</w:t>
            </w:r>
          </w:p>
        </w:tc>
      </w:tr>
      <w:tr w14:paraId="1A2E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FEF5D">
            <w:pPr>
              <w:jc w:val="center"/>
              <w:rPr>
                <w:rFonts w:hint="eastAsia" w:ascii="黑体" w:hAnsi="宋体" w:eastAsia="黑体" w:cs="黑体"/>
                <w:b/>
                <w:bCs/>
                <w:i w:val="0"/>
                <w:iCs w:val="0"/>
                <w:color w:val="000000"/>
                <w:sz w:val="26"/>
                <w:szCs w:val="26"/>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AC61">
            <w:pPr>
              <w:jc w:val="center"/>
              <w:rPr>
                <w:rFonts w:hint="eastAsia" w:ascii="楷体" w:hAnsi="楷体" w:eastAsia="楷体" w:cs="楷体"/>
                <w:i w:val="0"/>
                <w:iCs w:val="0"/>
                <w:color w:val="000000"/>
                <w:sz w:val="26"/>
                <w:szCs w:val="26"/>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FB16">
            <w:pPr>
              <w:jc w:val="center"/>
              <w:rPr>
                <w:rFonts w:hint="eastAsia" w:ascii="楷体" w:hAnsi="楷体" w:eastAsia="楷体" w:cs="楷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6416">
            <w:pPr>
              <w:jc w:val="center"/>
              <w:rPr>
                <w:rFonts w:hint="eastAsia" w:ascii="楷体" w:hAnsi="楷体" w:eastAsia="楷体" w:cs="楷体"/>
                <w:b/>
                <w:bCs/>
                <w:i w:val="0"/>
                <w:iCs w:val="0"/>
                <w:color w:val="000000"/>
                <w:sz w:val="21"/>
                <w:szCs w:val="21"/>
                <w:u w:val="single"/>
              </w:rPr>
            </w:pPr>
          </w:p>
        </w:tc>
        <w:tc>
          <w:tcPr>
            <w:tcW w:w="1680" w:type="dxa"/>
            <w:tcBorders>
              <w:top w:val="nil"/>
              <w:left w:val="nil"/>
              <w:bottom w:val="single" w:color="auto" w:sz="4" w:space="0"/>
              <w:right w:val="nil"/>
            </w:tcBorders>
            <w:shd w:val="clear" w:color="auto" w:fill="auto"/>
            <w:vAlign w:val="center"/>
          </w:tcPr>
          <w:p w14:paraId="63F0ACC3">
            <w:pPr>
              <w:jc w:val="center"/>
              <w:rPr>
                <w:rFonts w:hint="default" w:ascii="Arial" w:hAnsi="Arial" w:cs="Arial"/>
                <w:i w:val="0"/>
                <w:iCs w:val="0"/>
                <w:color w:val="000000"/>
                <w:sz w:val="18"/>
                <w:szCs w:val="18"/>
                <w:u w:val="singl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3A8E">
            <w:pPr>
              <w:jc w:val="center"/>
              <w:rPr>
                <w:rFonts w:hint="eastAsia" w:ascii="楷体" w:hAnsi="楷体" w:eastAsia="楷体" w:cs="楷体"/>
                <w:b/>
                <w:bCs/>
                <w:i w:val="0"/>
                <w:iCs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68D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挫折应对课程</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9FB0">
            <w:pPr>
              <w:jc w:val="center"/>
              <w:rPr>
                <w:rFonts w:hint="eastAsia" w:ascii="楷体" w:hAnsi="楷体" w:eastAsia="楷体" w:cs="楷体"/>
                <w:i w:val="0"/>
                <w:iCs w:val="0"/>
                <w:color w:val="000000"/>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2D5E">
            <w:pPr>
              <w:jc w:val="center"/>
              <w:rPr>
                <w:rFonts w:hint="default" w:ascii="Arial" w:hAnsi="Arial" w:cs="Arial"/>
                <w:i w:val="0"/>
                <w:iCs w:val="0"/>
                <w:color w:val="000000"/>
                <w:sz w:val="18"/>
                <w:szCs w:val="18"/>
                <w:u w:val="none"/>
              </w:rPr>
            </w:pPr>
          </w:p>
        </w:tc>
        <w:tc>
          <w:tcPr>
            <w:tcW w:w="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1B73">
            <w:pPr>
              <w:jc w:val="center"/>
              <w:rPr>
                <w:rFonts w:hint="eastAsia" w:ascii="楷体" w:hAnsi="楷体" w:eastAsia="楷体" w:cs="楷体"/>
                <w:b/>
                <w:bCs/>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4BFC">
            <w:pPr>
              <w:jc w:val="center"/>
              <w:rPr>
                <w:rFonts w:hint="default" w:ascii="Arial" w:hAnsi="Arial" w:cs="Arial"/>
                <w:i w:val="0"/>
                <w:iCs w:val="0"/>
                <w:color w:val="000000"/>
                <w:sz w:val="18"/>
                <w:szCs w:val="18"/>
                <w:u w:val="none"/>
              </w:rPr>
            </w:pPr>
          </w:p>
        </w:tc>
      </w:tr>
    </w:tbl>
    <w:p w14:paraId="1EECFAA7">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eastAsia="zh-CN"/>
        </w:rPr>
      </w:pPr>
    </w:p>
    <w:p w14:paraId="54C6255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F701F"/>
    <w:multiLevelType w:val="singleLevel"/>
    <w:tmpl w:val="14DF70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MmVhNTU1ZDNmYzQ5MzdmYWEzODMzMzU0ZDEzMzEifQ=="/>
  </w:docVars>
  <w:rsids>
    <w:rsidRoot w:val="2EB93B0B"/>
    <w:rsid w:val="040D1FB6"/>
    <w:rsid w:val="0E032C8D"/>
    <w:rsid w:val="11AB0819"/>
    <w:rsid w:val="18A15ED2"/>
    <w:rsid w:val="295D00EB"/>
    <w:rsid w:val="2EB93B0B"/>
    <w:rsid w:val="2F6D3FB3"/>
    <w:rsid w:val="3DC61103"/>
    <w:rsid w:val="45F70026"/>
    <w:rsid w:val="45FD3DD3"/>
    <w:rsid w:val="4C8D7B85"/>
    <w:rsid w:val="5B7108FA"/>
    <w:rsid w:val="639A4680"/>
    <w:rsid w:val="6F241291"/>
    <w:rsid w:val="78462677"/>
    <w:rsid w:val="7C1254D9"/>
    <w:rsid w:val="7C8B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12"/>
    <w:basedOn w:val="7"/>
    <w:uiPriority w:val="0"/>
    <w:rPr>
      <w:rFonts w:hint="eastAsia" w:ascii="宋体" w:hAnsi="宋体" w:eastAsia="宋体" w:cs="宋体"/>
      <w:b/>
      <w:bCs/>
      <w:color w:val="000000"/>
      <w:sz w:val="28"/>
      <w:szCs w:val="28"/>
      <w:u w:val="none"/>
    </w:rPr>
  </w:style>
  <w:style w:type="character" w:customStyle="1" w:styleId="10">
    <w:name w:val="font21"/>
    <w:basedOn w:val="7"/>
    <w:uiPriority w:val="0"/>
    <w:rPr>
      <w:rFonts w:hint="eastAsia" w:ascii="宋体" w:hAnsi="宋体" w:eastAsia="宋体" w:cs="宋体"/>
      <w:b/>
      <w:bCs/>
      <w:color w:val="000000"/>
      <w:sz w:val="48"/>
      <w:szCs w:val="48"/>
      <w:u w:val="none"/>
    </w:rPr>
  </w:style>
  <w:style w:type="character" w:customStyle="1" w:styleId="11">
    <w:name w:val="font61"/>
    <w:basedOn w:val="7"/>
    <w:qFormat/>
    <w:uiPriority w:val="0"/>
    <w:rPr>
      <w:rFonts w:hint="eastAsia" w:ascii="黑体" w:hAnsi="宋体" w:eastAsia="黑体" w:cs="黑体"/>
      <w:b/>
      <w:bCs/>
      <w:color w:val="000000"/>
      <w:sz w:val="7"/>
      <w:szCs w:val="7"/>
      <w:u w:val="none"/>
    </w:rPr>
  </w:style>
  <w:style w:type="character" w:customStyle="1" w:styleId="12">
    <w:name w:val="font81"/>
    <w:basedOn w:val="7"/>
    <w:uiPriority w:val="0"/>
    <w:rPr>
      <w:rFonts w:hint="eastAsia" w:ascii="黑体" w:hAnsi="宋体" w:eastAsia="黑体" w:cs="黑体"/>
      <w:b/>
      <w:bCs/>
      <w:color w:val="000000"/>
      <w:sz w:val="26"/>
      <w:szCs w:val="26"/>
      <w:u w:val="none"/>
    </w:rPr>
  </w:style>
  <w:style w:type="character" w:customStyle="1" w:styleId="13">
    <w:name w:val="font91"/>
    <w:basedOn w:val="7"/>
    <w:qFormat/>
    <w:uiPriority w:val="0"/>
    <w:rPr>
      <w:rFonts w:hint="eastAsia" w:ascii="楷体" w:hAnsi="楷体" w:eastAsia="楷体" w:cs="楷体"/>
      <w:color w:val="FF0000"/>
      <w:sz w:val="26"/>
      <w:szCs w:val="26"/>
      <w:u w:val="none"/>
    </w:rPr>
  </w:style>
  <w:style w:type="character" w:customStyle="1" w:styleId="14">
    <w:name w:val="font141"/>
    <w:basedOn w:val="7"/>
    <w:uiPriority w:val="0"/>
    <w:rPr>
      <w:rFonts w:hint="default" w:ascii="Arial" w:hAnsi="Arial" w:cs="Arial"/>
      <w:color w:val="FF0000"/>
      <w:sz w:val="34"/>
      <w:szCs w:val="34"/>
      <w:u w:val="none"/>
    </w:rPr>
  </w:style>
  <w:style w:type="character" w:customStyle="1" w:styleId="15">
    <w:name w:val="font41"/>
    <w:basedOn w:val="7"/>
    <w:qFormat/>
    <w:uiPriority w:val="0"/>
    <w:rPr>
      <w:rFonts w:hint="eastAsia" w:ascii="楷体" w:hAnsi="楷体" w:eastAsia="楷体" w:cs="楷体"/>
      <w:color w:val="000000"/>
      <w:sz w:val="26"/>
      <w:szCs w:val="26"/>
      <w:u w:val="none"/>
    </w:rPr>
  </w:style>
  <w:style w:type="character" w:customStyle="1" w:styleId="16">
    <w:name w:val="font131"/>
    <w:basedOn w:val="7"/>
    <w:uiPriority w:val="0"/>
    <w:rPr>
      <w:rFonts w:hint="default" w:ascii="Times New Roman" w:hAnsi="Times New Roman" w:cs="Times New Roman"/>
      <w:color w:val="000000"/>
      <w:sz w:val="26"/>
      <w:szCs w:val="26"/>
      <w:u w:val="none"/>
    </w:rPr>
  </w:style>
  <w:style w:type="character" w:customStyle="1" w:styleId="17">
    <w:name w:val="font151"/>
    <w:basedOn w:val="7"/>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6798</Words>
  <Characters>6861</Characters>
  <Lines>0</Lines>
  <Paragraphs>0</Paragraphs>
  <TotalTime>7</TotalTime>
  <ScaleCrop>false</ScaleCrop>
  <LinksUpToDate>false</LinksUpToDate>
  <CharactersWithSpaces>6957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2024-11-09T21:36:00Z</dcterms:created>
  <dc:creator>橙色日记</dc:creator>
  <cp:lastModifiedBy>为你开心</cp:lastModifiedBy>
  <dcterms:modified xsi:type="dcterms:W3CDTF">2025-01-26T02:56:14Z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2D245DF05F1E4C1593CC1F4D60E444BC_13</vt:lpwstr>
  </property>
  <property fmtid="{D5CDD505-2E9C-101B-9397-08002B2CF9AE}" pid="4" name="KSOTemplateDocerSaveRecord">
    <vt:lpwstr>eyJoZGlkIjoiNWI1MmVhNTU1ZDNmYzQ5MzdmYWEzODMzMzU0ZDEzMzEiLCJ1c2VySWQiOiI1NzMyMDIwNjYifQ==</vt:lpwstr>
  </property>
</Properties>
</file>